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E6584" w14:textId="755E44B1" w:rsidR="00653744" w:rsidRPr="00DA3D49" w:rsidRDefault="00A60A40" w:rsidP="001D7CFF">
      <w:pPr>
        <w:pStyle w:val="Header"/>
        <w:tabs>
          <w:tab w:val="right" w:pos="8280"/>
          <w:tab w:val="right" w:pos="9781"/>
        </w:tabs>
        <w:ind w:right="-58"/>
        <w:rPr>
          <w:bCs w:val="0"/>
          <w:noProof w:val="0"/>
          <w:sz w:val="24"/>
          <w:szCs w:val="24"/>
          <w:lang w:eastAsia="zh-CN"/>
        </w:rPr>
      </w:pPr>
      <w:r>
        <w:rPr>
          <w:rFonts w:eastAsia="Batang"/>
          <w:bCs w:val="0"/>
          <w:noProof w:val="0"/>
          <w:sz w:val="24"/>
          <w:szCs w:val="24"/>
        </w:rPr>
        <w:t>3GPP TSG RAN WG1 Meeting #</w:t>
      </w:r>
      <w:r>
        <w:rPr>
          <w:rFonts w:asciiTheme="minorEastAsia" w:eastAsiaTheme="minorEastAsia" w:hint="eastAsia"/>
          <w:bCs w:val="0"/>
          <w:noProof w:val="0"/>
          <w:sz w:val="24"/>
          <w:szCs w:val="24"/>
          <w:lang w:eastAsia="zh-CN"/>
        </w:rPr>
        <w:t>95</w:t>
      </w:r>
      <w:r w:rsidR="00653744" w:rsidRPr="0024666F">
        <w:rPr>
          <w:rFonts w:eastAsia="Batang"/>
          <w:bCs w:val="0"/>
          <w:noProof w:val="0"/>
          <w:sz w:val="24"/>
          <w:szCs w:val="24"/>
        </w:rPr>
        <w:tab/>
      </w:r>
      <w:r w:rsidR="00653744" w:rsidRPr="0024666F">
        <w:rPr>
          <w:rFonts w:eastAsia="Batang"/>
          <w:bCs w:val="0"/>
          <w:noProof w:val="0"/>
          <w:sz w:val="24"/>
          <w:szCs w:val="24"/>
        </w:rPr>
        <w:tab/>
      </w:r>
      <w:r w:rsidR="00B042B9" w:rsidRPr="00B042B9">
        <w:rPr>
          <w:rFonts w:eastAsia="Batang"/>
          <w:bCs w:val="0"/>
          <w:noProof w:val="0"/>
          <w:sz w:val="24"/>
          <w:szCs w:val="24"/>
        </w:rPr>
        <w:t>R1-1813519</w:t>
      </w:r>
    </w:p>
    <w:p w14:paraId="7579423B" w14:textId="25D217E9" w:rsidR="0004518D" w:rsidRDefault="00E25777" w:rsidP="00653744">
      <w:pPr>
        <w:ind w:left="1988" w:hanging="1988"/>
        <w:rPr>
          <w:rFonts w:ascii="Arial" w:eastAsia="Batang" w:hAnsi="Arial" w:cs="Arial"/>
          <w:b/>
          <w:sz w:val="24"/>
          <w:szCs w:val="24"/>
        </w:rPr>
      </w:pPr>
      <w:r w:rsidRPr="00806141">
        <w:rPr>
          <w:rFonts w:ascii="Arial" w:eastAsia="Batang" w:hAnsi="Arial" w:cs="Arial"/>
          <w:b/>
          <w:sz w:val="24"/>
          <w:szCs w:val="24"/>
          <w:lang w:eastAsia="en-GB"/>
        </w:rPr>
        <w:t>Spokane, USA, November 12th – 16th 2018</w:t>
      </w:r>
      <w:r w:rsidRPr="00E25777">
        <w:rPr>
          <w:rFonts w:eastAsia="Batang"/>
          <w:sz w:val="24"/>
          <w:szCs w:val="24"/>
          <w:lang w:eastAsia="en-GB"/>
        </w:rPr>
        <w:t> </w:t>
      </w:r>
    </w:p>
    <w:p w14:paraId="47EEC400" w14:textId="77777777" w:rsidR="00D96B73" w:rsidRPr="00821D76" w:rsidRDefault="00D96B73" w:rsidP="00653744">
      <w:pPr>
        <w:ind w:left="1988" w:hanging="1988"/>
        <w:rPr>
          <w:rFonts w:ascii="Arial" w:hAnsi="Arial" w:cs="Arial"/>
          <w:b/>
          <w:sz w:val="24"/>
        </w:rPr>
      </w:pPr>
    </w:p>
    <w:p w14:paraId="2DE20380" w14:textId="77777777" w:rsidR="00653744" w:rsidRPr="0024666F" w:rsidRDefault="00653744" w:rsidP="00653744">
      <w:pPr>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00BC2469" w:rsidRPr="00DF1CE7">
        <w:rPr>
          <w:rFonts w:ascii="Arial" w:hAnsi="Arial" w:cs="Arial"/>
          <w:b/>
          <w:sz w:val="24"/>
        </w:rPr>
        <w:t>Nokia</w:t>
      </w:r>
      <w:r w:rsidR="00BC2469">
        <w:rPr>
          <w:rFonts w:ascii="Arial" w:hAnsi="Arial" w:cs="Arial"/>
          <w:b/>
          <w:sz w:val="24"/>
        </w:rPr>
        <w:t>,</w:t>
      </w:r>
      <w:r w:rsidR="00BC2469">
        <w:rPr>
          <w:rFonts w:ascii="Arial" w:hAnsi="Arial" w:cs="Arial" w:hint="eastAsia"/>
          <w:b/>
          <w:sz w:val="24"/>
        </w:rPr>
        <w:t xml:space="preserve"> </w:t>
      </w:r>
      <w:r w:rsidR="00FC00AC">
        <w:rPr>
          <w:rFonts w:ascii="Arial" w:hAnsi="Arial" w:cs="Arial"/>
          <w:b/>
          <w:sz w:val="24"/>
        </w:rPr>
        <w:t>Noki</w:t>
      </w:r>
      <w:bookmarkStart w:id="0" w:name="_GoBack"/>
      <w:bookmarkEnd w:id="0"/>
      <w:r w:rsidR="00FC00AC">
        <w:rPr>
          <w:rFonts w:ascii="Arial" w:hAnsi="Arial" w:cs="Arial"/>
          <w:b/>
          <w:sz w:val="24"/>
        </w:rPr>
        <w:t>a</w:t>
      </w:r>
      <w:r w:rsidR="00854D22">
        <w:rPr>
          <w:rFonts w:ascii="Arial" w:hAnsi="Arial" w:cs="Arial" w:hint="eastAsia"/>
          <w:b/>
          <w:sz w:val="24"/>
        </w:rPr>
        <w:t xml:space="preserve"> Shanghai Bell</w:t>
      </w:r>
      <w:r w:rsidR="00DF1CE7">
        <w:rPr>
          <w:rFonts w:ascii="Arial" w:hAnsi="Arial" w:cs="Arial" w:hint="eastAsia"/>
          <w:b/>
          <w:sz w:val="24"/>
        </w:rPr>
        <w:t xml:space="preserve"> </w:t>
      </w:r>
    </w:p>
    <w:p w14:paraId="52AD14A0" w14:textId="50645369" w:rsidR="00653744" w:rsidRPr="0024666F" w:rsidRDefault="00653744" w:rsidP="00F945A6">
      <w:pPr>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821D76">
        <w:rPr>
          <w:rFonts w:ascii="Arial" w:hAnsi="Arial" w:cs="Arial"/>
          <w:b/>
          <w:sz w:val="24"/>
        </w:rPr>
        <w:t>Discussions</w:t>
      </w:r>
      <w:r w:rsidR="00F60DBC" w:rsidRPr="00F60DBC">
        <w:rPr>
          <w:rFonts w:ascii="Arial" w:hAnsi="Arial" w:cs="Arial"/>
          <w:b/>
          <w:sz w:val="24"/>
        </w:rPr>
        <w:t xml:space="preserve"> on NR V2X Sidelink Physical Layer Structures</w:t>
      </w:r>
    </w:p>
    <w:p w14:paraId="54FD10C5" w14:textId="0D45F8BE" w:rsidR="00653744" w:rsidRPr="0024666F" w:rsidRDefault="00653744" w:rsidP="00653744">
      <w:pPr>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005C2E43" w:rsidRPr="00E25777">
        <w:rPr>
          <w:rFonts w:ascii="Arial" w:hAnsi="Arial" w:cs="Arial"/>
          <w:b/>
          <w:sz w:val="24"/>
        </w:rPr>
        <w:t>7.2.4.</w:t>
      </w:r>
      <w:r w:rsidR="00F06907" w:rsidRPr="00E25777">
        <w:rPr>
          <w:rFonts w:ascii="Arial" w:hAnsi="Arial" w:cs="Arial"/>
          <w:b/>
          <w:sz w:val="24"/>
        </w:rPr>
        <w:t>1.</w:t>
      </w:r>
      <w:r w:rsidR="00F06907" w:rsidRPr="00E25777">
        <w:rPr>
          <w:rFonts w:ascii="Arial" w:hAnsi="Arial" w:cs="Arial" w:hint="eastAsia"/>
          <w:b/>
          <w:sz w:val="24"/>
        </w:rPr>
        <w:t>1</w:t>
      </w:r>
    </w:p>
    <w:p w14:paraId="0B793CD2" w14:textId="77777777" w:rsidR="00653744" w:rsidRPr="0024666F" w:rsidRDefault="00653744" w:rsidP="00653744">
      <w:pPr>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451F034E" w14:textId="77777777" w:rsidR="00653744" w:rsidRPr="0024666F" w:rsidRDefault="00653744" w:rsidP="00653744">
      <w:pPr>
        <w:ind w:left="1988" w:hanging="1988"/>
        <w:rPr>
          <w:rFonts w:ascii="Arial" w:hAnsi="Arial" w:cs="Arial"/>
          <w:b/>
          <w:sz w:val="24"/>
        </w:rPr>
      </w:pPr>
    </w:p>
    <w:p w14:paraId="51CE97F5" w14:textId="2A4D2500" w:rsidR="0058787A" w:rsidRDefault="00653744" w:rsidP="00967F74">
      <w:pPr>
        <w:pStyle w:val="Heading1"/>
        <w:numPr>
          <w:ilvl w:val="0"/>
          <w:numId w:val="31"/>
        </w:numPr>
        <w:rPr>
          <w:lang w:val="en-US"/>
        </w:rPr>
      </w:pPr>
      <w:r w:rsidRPr="0024666F">
        <w:rPr>
          <w:lang w:val="en-US"/>
        </w:rPr>
        <w:t>Introduction</w:t>
      </w:r>
    </w:p>
    <w:p w14:paraId="7DA87CEC" w14:textId="6315DC5E" w:rsidR="0077490B" w:rsidRDefault="00E4379E" w:rsidP="00536A06">
      <w:r w:rsidRPr="00E4379E">
        <w:t>In RAN#80, the study item of study on NR V2X was created to support advanced V2X services</w:t>
      </w:r>
      <w:r>
        <w:t xml:space="preserve"> [1]. </w:t>
      </w:r>
      <w:r w:rsidR="00C662F2">
        <w:t>In the last</w:t>
      </w:r>
      <w:r>
        <w:t xml:space="preserve"> RAN1#94</w:t>
      </w:r>
      <w:r w:rsidR="006E1546">
        <w:t>bis</w:t>
      </w:r>
      <w:r>
        <w:t xml:space="preserve"> meeting</w:t>
      </w:r>
      <w:r w:rsidRPr="00E4379E">
        <w:t>, the following agreements were reached</w:t>
      </w:r>
      <w:r>
        <w:t xml:space="preserve"> [2]</w:t>
      </w:r>
    </w:p>
    <w:p w14:paraId="140F9A25" w14:textId="77777777" w:rsidR="0085413E" w:rsidRDefault="0085413E" w:rsidP="0085413E">
      <w:pPr>
        <w:rPr>
          <w:szCs w:val="20"/>
          <w:highlight w:val="green"/>
          <w:lang w:eastAsia="x-none"/>
        </w:rPr>
      </w:pPr>
    </w:p>
    <w:p w14:paraId="00771A1B" w14:textId="77777777" w:rsidR="0085413E" w:rsidRPr="0085413E" w:rsidRDefault="0085413E" w:rsidP="0085413E">
      <w:pPr>
        <w:rPr>
          <w:i/>
          <w:szCs w:val="20"/>
          <w:lang w:eastAsia="x-none"/>
        </w:rPr>
      </w:pPr>
      <w:r w:rsidRPr="0085413E">
        <w:rPr>
          <w:i/>
          <w:szCs w:val="20"/>
          <w:highlight w:val="green"/>
          <w:lang w:eastAsia="x-none"/>
        </w:rPr>
        <w:t>Agreements</w:t>
      </w:r>
      <w:r w:rsidRPr="0085413E">
        <w:rPr>
          <w:i/>
          <w:szCs w:val="20"/>
          <w:lang w:eastAsia="x-none"/>
        </w:rPr>
        <w:t>:</w:t>
      </w:r>
    </w:p>
    <w:p w14:paraId="74311C27" w14:textId="77777777" w:rsidR="0085413E" w:rsidRPr="00663413" w:rsidRDefault="0085413E" w:rsidP="0085413E">
      <w:pPr>
        <w:numPr>
          <w:ilvl w:val="0"/>
          <w:numId w:val="15"/>
        </w:numPr>
        <w:overflowPunct w:val="0"/>
        <w:autoSpaceDE w:val="0"/>
        <w:autoSpaceDN w:val="0"/>
        <w:spacing w:after="120"/>
        <w:contextualSpacing/>
        <w:textAlignment w:val="baseline"/>
        <w:rPr>
          <w:rFonts w:ascii="Times" w:eastAsia="Batang" w:hAnsi="Times" w:cs="Times New Roman"/>
          <w:i/>
          <w:sz w:val="20"/>
          <w:szCs w:val="20"/>
          <w:lang w:eastAsia="ko-KR"/>
        </w:rPr>
      </w:pPr>
      <w:r w:rsidRPr="00663413">
        <w:rPr>
          <w:rFonts w:ascii="Times" w:eastAsia="Batang" w:hAnsi="Times" w:cs="Times New Roman"/>
          <w:i/>
          <w:sz w:val="20"/>
          <w:szCs w:val="20"/>
          <w:lang w:eastAsia="ko-KR"/>
        </w:rPr>
        <w:t>NR sidelink supports the SCSs supported by Uu in a given frequency range, i.e., {15, 30, 60 kHz} in FR1 and {60, 120 kHz} in FR2.</w:t>
      </w:r>
    </w:p>
    <w:p w14:paraId="1B11F3AA" w14:textId="77777777" w:rsidR="0085413E" w:rsidRPr="00663413" w:rsidRDefault="0085413E" w:rsidP="0085413E">
      <w:pPr>
        <w:numPr>
          <w:ilvl w:val="1"/>
          <w:numId w:val="15"/>
        </w:numPr>
        <w:overflowPunct w:val="0"/>
        <w:autoSpaceDE w:val="0"/>
        <w:autoSpaceDN w:val="0"/>
        <w:spacing w:after="120"/>
        <w:contextualSpacing/>
        <w:textAlignment w:val="baseline"/>
        <w:rPr>
          <w:rFonts w:ascii="Times" w:eastAsia="Batang" w:hAnsi="Times" w:cs="Times New Roman"/>
          <w:i/>
          <w:sz w:val="20"/>
          <w:szCs w:val="20"/>
          <w:lang w:eastAsia="ko-KR"/>
        </w:rPr>
      </w:pPr>
      <w:r w:rsidRPr="00663413">
        <w:rPr>
          <w:rFonts w:ascii="Times" w:eastAsia="Batang" w:hAnsi="Times" w:cs="Times New Roman"/>
          <w:i/>
          <w:sz w:val="20"/>
          <w:szCs w:val="20"/>
          <w:lang w:eastAsia="ko-KR"/>
        </w:rPr>
        <w:t>FFS the supported CP length</w:t>
      </w:r>
    </w:p>
    <w:p w14:paraId="1ABD8A91" w14:textId="77777777" w:rsidR="0085413E" w:rsidRPr="00663413" w:rsidRDefault="0085413E" w:rsidP="0085413E">
      <w:pPr>
        <w:numPr>
          <w:ilvl w:val="1"/>
          <w:numId w:val="15"/>
        </w:numPr>
        <w:overflowPunct w:val="0"/>
        <w:autoSpaceDE w:val="0"/>
        <w:autoSpaceDN w:val="0"/>
        <w:spacing w:after="120"/>
        <w:contextualSpacing/>
        <w:textAlignment w:val="baseline"/>
        <w:rPr>
          <w:rFonts w:ascii="Times" w:eastAsia="Batang" w:hAnsi="Times" w:cs="Times New Roman"/>
          <w:i/>
          <w:sz w:val="20"/>
          <w:szCs w:val="20"/>
          <w:lang w:eastAsia="ko-KR"/>
        </w:rPr>
      </w:pPr>
      <w:r w:rsidRPr="00663413">
        <w:rPr>
          <w:rFonts w:ascii="Times" w:eastAsia="Batang" w:hAnsi="Times" w:cs="Times New Roman"/>
          <w:i/>
          <w:sz w:val="20"/>
          <w:szCs w:val="20"/>
          <w:lang w:eastAsia="ko-KR"/>
        </w:rPr>
        <w:t>Baseline is that a UE is not required to receive sidelink transmissions using different SCSs simultaneously in a given carrier.</w:t>
      </w:r>
    </w:p>
    <w:p w14:paraId="74798CED" w14:textId="77777777" w:rsidR="0085413E" w:rsidRPr="00663413" w:rsidRDefault="0085413E" w:rsidP="0085413E">
      <w:pPr>
        <w:numPr>
          <w:ilvl w:val="2"/>
          <w:numId w:val="15"/>
        </w:numPr>
        <w:overflowPunct w:val="0"/>
        <w:autoSpaceDE w:val="0"/>
        <w:autoSpaceDN w:val="0"/>
        <w:spacing w:after="120"/>
        <w:contextualSpacing/>
        <w:textAlignment w:val="baseline"/>
        <w:rPr>
          <w:rFonts w:ascii="Times" w:eastAsia="Batang" w:hAnsi="Times" w:cs="Times New Roman"/>
          <w:i/>
          <w:sz w:val="20"/>
          <w:szCs w:val="20"/>
          <w:lang w:eastAsia="ko-KR"/>
        </w:rPr>
      </w:pPr>
      <w:r w:rsidRPr="00663413">
        <w:rPr>
          <w:rFonts w:ascii="Times" w:eastAsia="Batang" w:hAnsi="Times" w:cs="Times New Roman"/>
          <w:i/>
          <w:sz w:val="20"/>
          <w:szCs w:val="20"/>
          <w:lang w:eastAsia="ko-KR"/>
        </w:rPr>
        <w:t>FFS if this applies to sidelink synchronization signals/channels</w:t>
      </w:r>
    </w:p>
    <w:p w14:paraId="76205F66" w14:textId="77777777" w:rsidR="0085413E" w:rsidRPr="00663413" w:rsidRDefault="0085413E" w:rsidP="0085413E">
      <w:pPr>
        <w:numPr>
          <w:ilvl w:val="1"/>
          <w:numId w:val="15"/>
        </w:numPr>
        <w:overflowPunct w:val="0"/>
        <w:autoSpaceDE w:val="0"/>
        <w:autoSpaceDN w:val="0"/>
        <w:spacing w:after="120"/>
        <w:contextualSpacing/>
        <w:textAlignment w:val="baseline"/>
        <w:rPr>
          <w:rFonts w:ascii="Times" w:eastAsia="Batang" w:hAnsi="Times" w:cs="Times New Roman"/>
          <w:i/>
          <w:sz w:val="20"/>
          <w:szCs w:val="20"/>
          <w:lang w:eastAsia="ko-KR"/>
        </w:rPr>
      </w:pPr>
      <w:r w:rsidRPr="00663413">
        <w:rPr>
          <w:rFonts w:ascii="Times" w:eastAsia="Batang" w:hAnsi="Times" w:cs="Times New Roman"/>
          <w:i/>
          <w:sz w:val="20"/>
          <w:szCs w:val="20"/>
          <w:lang w:eastAsia="ko-KR"/>
        </w:rPr>
        <w:t>Baseline is that a UE is not required to transmit sidelink transmissions using different SCSs simultaneously in a given carrier.</w:t>
      </w:r>
    </w:p>
    <w:p w14:paraId="3237CC6F" w14:textId="011815F9" w:rsidR="0085413E" w:rsidRPr="00663413" w:rsidRDefault="0085413E" w:rsidP="0085413E">
      <w:pPr>
        <w:numPr>
          <w:ilvl w:val="2"/>
          <w:numId w:val="15"/>
        </w:numPr>
        <w:overflowPunct w:val="0"/>
        <w:autoSpaceDE w:val="0"/>
        <w:autoSpaceDN w:val="0"/>
        <w:spacing w:after="120"/>
        <w:contextualSpacing/>
        <w:textAlignment w:val="baseline"/>
        <w:rPr>
          <w:rFonts w:ascii="Times" w:eastAsia="Batang" w:hAnsi="Times" w:cs="Times New Roman"/>
          <w:i/>
          <w:sz w:val="20"/>
          <w:szCs w:val="20"/>
          <w:lang w:eastAsia="ko-KR"/>
        </w:rPr>
      </w:pPr>
      <w:r w:rsidRPr="00663413">
        <w:rPr>
          <w:rFonts w:ascii="Times" w:eastAsia="Batang" w:hAnsi="Times" w:cs="Times New Roman"/>
          <w:i/>
          <w:sz w:val="20"/>
          <w:szCs w:val="20"/>
          <w:lang w:eastAsia="ko-KR"/>
        </w:rPr>
        <w:t>FFS if this applies to sidelink synchronization signals/channels</w:t>
      </w:r>
    </w:p>
    <w:p w14:paraId="21AA8A3B" w14:textId="77777777" w:rsidR="0085413E" w:rsidRPr="00663413" w:rsidRDefault="0085413E" w:rsidP="0085413E">
      <w:pPr>
        <w:rPr>
          <w:rFonts w:ascii="Times" w:eastAsia="Batang" w:hAnsi="Times" w:cs="Times New Roman"/>
          <w:i/>
          <w:sz w:val="20"/>
          <w:szCs w:val="20"/>
          <w:lang w:eastAsia="ko-KR"/>
        </w:rPr>
      </w:pPr>
    </w:p>
    <w:p w14:paraId="31686B61" w14:textId="2685ACFC" w:rsidR="00E4379E" w:rsidRPr="00663413" w:rsidRDefault="0085413E" w:rsidP="0085413E">
      <w:pPr>
        <w:rPr>
          <w:rFonts w:ascii="Times" w:eastAsia="Batang" w:hAnsi="Times" w:cs="Times New Roman"/>
          <w:i/>
          <w:sz w:val="20"/>
          <w:szCs w:val="20"/>
          <w:lang w:eastAsia="ko-KR"/>
        </w:rPr>
      </w:pPr>
      <w:r w:rsidRPr="00663413">
        <w:rPr>
          <w:rFonts w:ascii="Times" w:eastAsia="Batang" w:hAnsi="Times" w:cs="Times New Roman"/>
          <w:i/>
          <w:sz w:val="20"/>
          <w:szCs w:val="20"/>
          <w:lang w:eastAsia="ko-KR"/>
        </w:rPr>
        <w:t>Continue discussion on the wavefom till next meeting – companies are encouraged to perform more analysis/evaluations.</w:t>
      </w:r>
    </w:p>
    <w:p w14:paraId="39971332" w14:textId="77777777" w:rsidR="00E4379E" w:rsidRPr="00E4379E" w:rsidRDefault="00E4379E" w:rsidP="00E4379E">
      <w:pPr>
        <w:rPr>
          <w:szCs w:val="21"/>
        </w:rPr>
      </w:pPr>
    </w:p>
    <w:p w14:paraId="44081CF4" w14:textId="77777777" w:rsidR="0085413E" w:rsidRPr="0085413E" w:rsidRDefault="0085413E" w:rsidP="0085413E">
      <w:pPr>
        <w:rPr>
          <w:i/>
          <w:highlight w:val="green"/>
          <w:lang w:eastAsia="x-none"/>
        </w:rPr>
      </w:pPr>
      <w:r w:rsidRPr="0085413E">
        <w:rPr>
          <w:i/>
          <w:highlight w:val="green"/>
          <w:lang w:eastAsia="x-none"/>
        </w:rPr>
        <w:t>Agreements:</w:t>
      </w:r>
    </w:p>
    <w:p w14:paraId="064B9A74" w14:textId="77777777" w:rsidR="0085413E" w:rsidRPr="0085413E" w:rsidRDefault="0085413E" w:rsidP="0085413E">
      <w:pPr>
        <w:rPr>
          <w:rFonts w:ascii="Times" w:eastAsia="Batang" w:hAnsi="Times" w:cs="Times New Roman"/>
          <w:i/>
          <w:sz w:val="20"/>
          <w:szCs w:val="20"/>
          <w:lang w:eastAsia="ko-KR"/>
        </w:rPr>
      </w:pPr>
      <w:r w:rsidRPr="0085413E">
        <w:rPr>
          <w:rFonts w:ascii="Times" w:eastAsia="Batang" w:hAnsi="Times" w:cs="Times New Roman"/>
          <w:i/>
          <w:sz w:val="20"/>
          <w:szCs w:val="20"/>
          <w:lang w:eastAsia="ko-KR"/>
        </w:rPr>
        <w:t xml:space="preserve">For </w:t>
      </w:r>
      <w:r w:rsidRPr="0085413E">
        <w:rPr>
          <w:rFonts w:ascii="Times" w:eastAsia="Batang" w:hAnsi="Times" w:cs="Times New Roman" w:hint="eastAsia"/>
          <w:i/>
          <w:sz w:val="20"/>
          <w:szCs w:val="20"/>
          <w:lang w:eastAsia="ko-KR"/>
        </w:rPr>
        <w:t xml:space="preserve">PSCCH and associated PSSCH </w:t>
      </w:r>
      <w:r w:rsidRPr="0085413E">
        <w:rPr>
          <w:rFonts w:ascii="Times" w:eastAsia="Batang" w:hAnsi="Times" w:cs="Times New Roman"/>
          <w:i/>
          <w:sz w:val="20"/>
          <w:szCs w:val="20"/>
          <w:lang w:eastAsia="ko-KR"/>
        </w:rPr>
        <w:t>multiplexing</w:t>
      </w:r>
    </w:p>
    <w:p w14:paraId="1D711781" w14:textId="77777777" w:rsidR="0085413E" w:rsidRPr="0085413E" w:rsidRDefault="0085413E" w:rsidP="0085413E">
      <w:pPr>
        <w:numPr>
          <w:ilvl w:val="0"/>
          <w:numId w:val="25"/>
        </w:numPr>
        <w:rPr>
          <w:rFonts w:ascii="Times" w:eastAsia="Batang" w:hAnsi="Times" w:cs="Times New Roman"/>
          <w:i/>
          <w:sz w:val="20"/>
          <w:szCs w:val="20"/>
          <w:lang w:eastAsia="ko-KR"/>
        </w:rPr>
      </w:pPr>
      <w:r w:rsidRPr="0085413E">
        <w:rPr>
          <w:rFonts w:ascii="Times" w:eastAsia="Batang" w:hAnsi="Times" w:cs="Times New Roman" w:hint="eastAsia"/>
          <w:i/>
          <w:sz w:val="20"/>
          <w:szCs w:val="20"/>
          <w:lang w:eastAsia="ko-KR"/>
        </w:rPr>
        <w:t>At least one of Option 1A, 1B, and 3 is supported.</w:t>
      </w:r>
    </w:p>
    <w:p w14:paraId="15FF4909" w14:textId="77777777" w:rsidR="0085413E" w:rsidRPr="0085413E" w:rsidRDefault="0085413E" w:rsidP="0085413E">
      <w:pPr>
        <w:numPr>
          <w:ilvl w:val="1"/>
          <w:numId w:val="25"/>
        </w:numPr>
        <w:rPr>
          <w:rFonts w:ascii="Times" w:eastAsia="Batang" w:hAnsi="Times" w:cs="Times New Roman"/>
          <w:i/>
          <w:sz w:val="20"/>
          <w:szCs w:val="20"/>
          <w:lang w:eastAsia="ko-KR"/>
        </w:rPr>
      </w:pPr>
      <w:r w:rsidRPr="0085413E">
        <w:rPr>
          <w:rFonts w:ascii="Times" w:eastAsia="Batang" w:hAnsi="Times" w:cs="Times New Roman" w:hint="eastAsia"/>
          <w:i/>
          <w:sz w:val="20"/>
          <w:szCs w:val="20"/>
          <w:lang w:eastAsia="ko-KR"/>
        </w:rPr>
        <w:t>FFS whether some options require transient period between PSCCH and PSSCH.</w:t>
      </w:r>
    </w:p>
    <w:p w14:paraId="29F12BA5" w14:textId="7DA1A48D" w:rsidR="00E4379E" w:rsidRPr="0085413E" w:rsidRDefault="0085413E" w:rsidP="0085413E">
      <w:pPr>
        <w:numPr>
          <w:ilvl w:val="0"/>
          <w:numId w:val="25"/>
        </w:numPr>
        <w:ind w:left="714" w:hanging="357"/>
        <w:rPr>
          <w:rFonts w:ascii="Times" w:eastAsia="Batang" w:hAnsi="Times" w:cs="Times New Roman"/>
          <w:i/>
          <w:sz w:val="20"/>
          <w:szCs w:val="20"/>
          <w:lang w:eastAsia="ko-KR"/>
        </w:rPr>
      </w:pPr>
      <w:r w:rsidRPr="0085413E">
        <w:rPr>
          <w:rFonts w:ascii="Times" w:eastAsia="Batang" w:hAnsi="Times" w:cs="Times New Roman" w:hint="eastAsia"/>
          <w:i/>
          <w:sz w:val="20"/>
          <w:szCs w:val="20"/>
          <w:lang w:eastAsia="ko-KR"/>
        </w:rPr>
        <w:t>FFS whether to support Option 2</w:t>
      </w:r>
    </w:p>
    <w:p w14:paraId="3D329D99" w14:textId="77777777" w:rsidR="0085413E" w:rsidRPr="0085413E" w:rsidRDefault="0085413E" w:rsidP="0085413E">
      <w:pPr>
        <w:spacing w:before="120" w:after="60"/>
        <w:rPr>
          <w:szCs w:val="20"/>
          <w:lang w:eastAsia="ko-KR"/>
        </w:rPr>
      </w:pPr>
    </w:p>
    <w:p w14:paraId="0B801B61" w14:textId="77777777" w:rsidR="0085413E" w:rsidRPr="0085413E" w:rsidRDefault="0085413E" w:rsidP="0085413E">
      <w:pPr>
        <w:rPr>
          <w:i/>
          <w:szCs w:val="20"/>
          <w:lang w:eastAsia="x-none"/>
        </w:rPr>
      </w:pPr>
      <w:r w:rsidRPr="0085413E">
        <w:rPr>
          <w:i/>
          <w:szCs w:val="20"/>
          <w:highlight w:val="green"/>
          <w:lang w:eastAsia="x-none"/>
        </w:rPr>
        <w:t>Agreements</w:t>
      </w:r>
      <w:r w:rsidRPr="0085413E">
        <w:rPr>
          <w:i/>
          <w:szCs w:val="20"/>
          <w:lang w:eastAsia="x-none"/>
        </w:rPr>
        <w:t>:</w:t>
      </w:r>
    </w:p>
    <w:p w14:paraId="4CA71FB8" w14:textId="77777777" w:rsidR="0085413E" w:rsidRPr="0085413E" w:rsidRDefault="0085413E" w:rsidP="0085413E">
      <w:pPr>
        <w:pStyle w:val="bullet1"/>
        <w:numPr>
          <w:ilvl w:val="0"/>
          <w:numId w:val="18"/>
        </w:numPr>
        <w:ind w:left="714" w:hanging="357"/>
        <w:rPr>
          <w:i/>
          <w:szCs w:val="20"/>
          <w:lang w:eastAsia="ko-KR"/>
        </w:rPr>
      </w:pPr>
      <w:r w:rsidRPr="0085413E">
        <w:rPr>
          <w:rFonts w:hint="eastAsia"/>
          <w:i/>
          <w:szCs w:val="20"/>
          <w:lang w:eastAsia="ko-KR"/>
        </w:rPr>
        <w:t xml:space="preserve">Sidelink control </w:t>
      </w:r>
      <w:r w:rsidRPr="0085413E">
        <w:rPr>
          <w:i/>
          <w:szCs w:val="20"/>
          <w:lang w:eastAsia="ko-KR"/>
        </w:rPr>
        <w:t>information</w:t>
      </w:r>
      <w:r w:rsidRPr="0085413E">
        <w:rPr>
          <w:rFonts w:hint="eastAsia"/>
          <w:i/>
          <w:szCs w:val="20"/>
          <w:lang w:eastAsia="ko-KR"/>
        </w:rPr>
        <w:t xml:space="preserve"> (SCI) is defined.</w:t>
      </w:r>
    </w:p>
    <w:p w14:paraId="4278BA9F" w14:textId="77777777" w:rsidR="0085413E" w:rsidRPr="0085413E" w:rsidRDefault="0085413E" w:rsidP="0085413E">
      <w:pPr>
        <w:pStyle w:val="bullet2"/>
        <w:numPr>
          <w:ilvl w:val="1"/>
          <w:numId w:val="18"/>
        </w:numPr>
        <w:rPr>
          <w:i/>
          <w:szCs w:val="20"/>
          <w:lang w:eastAsia="ko-KR"/>
        </w:rPr>
      </w:pPr>
      <w:r w:rsidRPr="0085413E">
        <w:rPr>
          <w:rFonts w:hint="eastAsia"/>
          <w:i/>
          <w:szCs w:val="20"/>
          <w:lang w:eastAsia="ko-KR"/>
        </w:rPr>
        <w:t>SCI is transmitted in PSCCH.</w:t>
      </w:r>
    </w:p>
    <w:p w14:paraId="2C9C4B5E" w14:textId="77777777" w:rsidR="0085413E" w:rsidRPr="0085413E" w:rsidRDefault="0085413E" w:rsidP="0085413E">
      <w:pPr>
        <w:pStyle w:val="bullet2"/>
        <w:numPr>
          <w:ilvl w:val="1"/>
          <w:numId w:val="18"/>
        </w:numPr>
        <w:rPr>
          <w:i/>
          <w:szCs w:val="20"/>
          <w:lang w:eastAsia="ko-KR"/>
        </w:rPr>
      </w:pPr>
      <w:r w:rsidRPr="0085413E">
        <w:rPr>
          <w:rFonts w:hint="eastAsia"/>
          <w:i/>
          <w:szCs w:val="20"/>
          <w:lang w:eastAsia="ko-KR"/>
        </w:rPr>
        <w:lastRenderedPageBreak/>
        <w:t>SCI includes at least one SCI format which includes the information necessary to decode the corresponding PSSCH.</w:t>
      </w:r>
    </w:p>
    <w:p w14:paraId="03041451" w14:textId="77777777" w:rsidR="0085413E" w:rsidRPr="0085413E" w:rsidRDefault="0085413E" w:rsidP="0085413E">
      <w:pPr>
        <w:pStyle w:val="bullet3"/>
        <w:numPr>
          <w:ilvl w:val="2"/>
          <w:numId w:val="18"/>
        </w:numPr>
        <w:rPr>
          <w:i/>
          <w:szCs w:val="20"/>
          <w:lang w:eastAsia="ko-KR"/>
        </w:rPr>
      </w:pPr>
      <w:r w:rsidRPr="0085413E">
        <w:rPr>
          <w:rFonts w:hint="eastAsia"/>
          <w:i/>
          <w:szCs w:val="20"/>
          <w:lang w:eastAsia="ko-KR"/>
        </w:rPr>
        <w:t>NDI, if defined, is a part of SCI.</w:t>
      </w:r>
    </w:p>
    <w:p w14:paraId="4E8C1F9F" w14:textId="77777777" w:rsidR="0085413E" w:rsidRPr="0085413E" w:rsidRDefault="0085413E" w:rsidP="0085413E">
      <w:pPr>
        <w:pStyle w:val="bullet1"/>
        <w:numPr>
          <w:ilvl w:val="0"/>
          <w:numId w:val="18"/>
        </w:numPr>
        <w:rPr>
          <w:i/>
          <w:szCs w:val="20"/>
          <w:lang w:eastAsia="ko-KR"/>
        </w:rPr>
      </w:pPr>
      <w:r w:rsidRPr="0085413E">
        <w:rPr>
          <w:rFonts w:hint="eastAsia"/>
          <w:i/>
          <w:szCs w:val="20"/>
          <w:lang w:eastAsia="ko-KR"/>
        </w:rPr>
        <w:t>Sidelink feedback control information (SFCI) is defined.</w:t>
      </w:r>
    </w:p>
    <w:p w14:paraId="70A5F971" w14:textId="77777777" w:rsidR="0085413E" w:rsidRPr="0085413E" w:rsidRDefault="0085413E" w:rsidP="0085413E">
      <w:pPr>
        <w:pStyle w:val="bullet2"/>
        <w:numPr>
          <w:ilvl w:val="1"/>
          <w:numId w:val="18"/>
        </w:numPr>
        <w:rPr>
          <w:i/>
          <w:szCs w:val="20"/>
          <w:lang w:eastAsia="ko-KR"/>
        </w:rPr>
      </w:pPr>
      <w:r w:rsidRPr="0085413E">
        <w:rPr>
          <w:rFonts w:hint="eastAsia"/>
          <w:i/>
          <w:szCs w:val="20"/>
          <w:lang w:eastAsia="ko-KR"/>
        </w:rPr>
        <w:t xml:space="preserve">SFCI includes at least one SFCI format which includes HARQ-ACK for the </w:t>
      </w:r>
      <w:r w:rsidRPr="0085413E">
        <w:rPr>
          <w:i/>
          <w:szCs w:val="20"/>
          <w:lang w:eastAsia="ko-KR"/>
        </w:rPr>
        <w:t>corresponding</w:t>
      </w:r>
      <w:r w:rsidRPr="0085413E">
        <w:rPr>
          <w:rFonts w:hint="eastAsia"/>
          <w:i/>
          <w:szCs w:val="20"/>
          <w:lang w:eastAsia="ko-KR"/>
        </w:rPr>
        <w:t xml:space="preserve"> PSSCH.</w:t>
      </w:r>
    </w:p>
    <w:p w14:paraId="2A5F5D5D" w14:textId="77777777" w:rsidR="0085413E" w:rsidRPr="0085413E" w:rsidRDefault="0085413E" w:rsidP="0085413E">
      <w:pPr>
        <w:pStyle w:val="bullet3"/>
        <w:numPr>
          <w:ilvl w:val="2"/>
          <w:numId w:val="18"/>
        </w:numPr>
        <w:rPr>
          <w:i/>
          <w:szCs w:val="20"/>
          <w:lang w:eastAsia="ko-KR"/>
        </w:rPr>
      </w:pPr>
      <w:r w:rsidRPr="0085413E">
        <w:rPr>
          <w:rFonts w:hint="eastAsia"/>
          <w:i/>
          <w:szCs w:val="20"/>
          <w:lang w:eastAsia="ko-KR"/>
        </w:rPr>
        <w:t xml:space="preserve">FFS whether a solution will use only one of </w:t>
      </w:r>
      <w:r w:rsidRPr="0085413E">
        <w:rPr>
          <w:i/>
          <w:szCs w:val="20"/>
          <w:lang w:eastAsia="ko-KR"/>
        </w:rPr>
        <w:t>“</w:t>
      </w:r>
      <w:r w:rsidRPr="0085413E">
        <w:rPr>
          <w:rFonts w:hint="eastAsia"/>
          <w:i/>
          <w:szCs w:val="20"/>
          <w:lang w:eastAsia="ko-KR"/>
        </w:rPr>
        <w:t>ACK,</w:t>
      </w:r>
      <w:r w:rsidRPr="0085413E">
        <w:rPr>
          <w:i/>
          <w:szCs w:val="20"/>
          <w:lang w:eastAsia="ko-KR"/>
        </w:rPr>
        <w:t>”</w:t>
      </w:r>
      <w:r w:rsidRPr="0085413E">
        <w:rPr>
          <w:rFonts w:hint="eastAsia"/>
          <w:i/>
          <w:szCs w:val="20"/>
          <w:lang w:eastAsia="ko-KR"/>
        </w:rPr>
        <w:t xml:space="preserve"> </w:t>
      </w:r>
      <w:r w:rsidRPr="0085413E">
        <w:rPr>
          <w:i/>
          <w:szCs w:val="20"/>
          <w:lang w:eastAsia="ko-KR"/>
        </w:rPr>
        <w:t>“</w:t>
      </w:r>
      <w:r w:rsidRPr="0085413E">
        <w:rPr>
          <w:rFonts w:hint="eastAsia"/>
          <w:i/>
          <w:szCs w:val="20"/>
          <w:lang w:eastAsia="ko-KR"/>
        </w:rPr>
        <w:t>NACK,</w:t>
      </w:r>
      <w:r w:rsidRPr="0085413E">
        <w:rPr>
          <w:i/>
          <w:szCs w:val="20"/>
          <w:lang w:eastAsia="ko-KR"/>
        </w:rPr>
        <w:t>”</w:t>
      </w:r>
      <w:r w:rsidRPr="0085413E">
        <w:rPr>
          <w:rFonts w:hint="eastAsia"/>
          <w:i/>
          <w:szCs w:val="20"/>
          <w:lang w:eastAsia="ko-KR"/>
        </w:rPr>
        <w:t xml:space="preserve"> </w:t>
      </w:r>
      <w:r w:rsidRPr="0085413E">
        <w:rPr>
          <w:i/>
          <w:szCs w:val="20"/>
          <w:lang w:eastAsia="ko-KR"/>
        </w:rPr>
        <w:t>“</w:t>
      </w:r>
      <w:r w:rsidRPr="0085413E">
        <w:rPr>
          <w:rFonts w:hint="eastAsia"/>
          <w:i/>
          <w:szCs w:val="20"/>
          <w:lang w:eastAsia="ko-KR"/>
        </w:rPr>
        <w:t>DTX,</w:t>
      </w:r>
      <w:r w:rsidRPr="0085413E">
        <w:rPr>
          <w:i/>
          <w:szCs w:val="20"/>
          <w:lang w:eastAsia="ko-KR"/>
        </w:rPr>
        <w:t>”</w:t>
      </w:r>
      <w:r w:rsidRPr="0085413E">
        <w:rPr>
          <w:rFonts w:hint="eastAsia"/>
          <w:i/>
          <w:szCs w:val="20"/>
          <w:lang w:eastAsia="ko-KR"/>
        </w:rPr>
        <w:t xml:space="preserve"> or use a combination of them.</w:t>
      </w:r>
    </w:p>
    <w:p w14:paraId="278D6F43" w14:textId="77777777" w:rsidR="0085413E" w:rsidRPr="0085413E" w:rsidRDefault="0085413E" w:rsidP="0085413E">
      <w:pPr>
        <w:pStyle w:val="bullet2"/>
        <w:numPr>
          <w:ilvl w:val="1"/>
          <w:numId w:val="18"/>
        </w:numPr>
        <w:rPr>
          <w:i/>
          <w:szCs w:val="20"/>
          <w:lang w:eastAsia="ko-KR"/>
        </w:rPr>
      </w:pPr>
      <w:r w:rsidRPr="0085413E">
        <w:rPr>
          <w:rFonts w:hint="eastAsia"/>
          <w:i/>
          <w:szCs w:val="20"/>
          <w:lang w:eastAsia="ko-KR"/>
        </w:rPr>
        <w:t>FFS how to include other feedback information (if supported) in SFCI.</w:t>
      </w:r>
    </w:p>
    <w:p w14:paraId="77F212D6" w14:textId="77777777" w:rsidR="0085413E" w:rsidRPr="0085413E" w:rsidRDefault="0085413E" w:rsidP="0085413E">
      <w:pPr>
        <w:pStyle w:val="bullet2"/>
        <w:numPr>
          <w:ilvl w:val="1"/>
          <w:numId w:val="18"/>
        </w:numPr>
        <w:rPr>
          <w:i/>
          <w:szCs w:val="20"/>
          <w:lang w:eastAsia="ko-KR"/>
        </w:rPr>
      </w:pPr>
      <w:r w:rsidRPr="0085413E">
        <w:rPr>
          <w:rFonts w:hint="eastAsia"/>
          <w:i/>
          <w:szCs w:val="20"/>
          <w:lang w:eastAsia="ko-KR"/>
        </w:rPr>
        <w:t xml:space="preserve">FFS how to convey SFCI on sidelink in PSCCH, and/or PSSCH, and/or a new </w:t>
      </w:r>
      <w:r w:rsidRPr="0085413E">
        <w:rPr>
          <w:i/>
          <w:szCs w:val="20"/>
          <w:lang w:eastAsia="ko-KR"/>
        </w:rPr>
        <w:t>physical</w:t>
      </w:r>
      <w:r w:rsidRPr="0085413E">
        <w:rPr>
          <w:rFonts w:hint="eastAsia"/>
          <w:i/>
          <w:szCs w:val="20"/>
          <w:lang w:eastAsia="ko-KR"/>
        </w:rPr>
        <w:t xml:space="preserve"> sidelink channel</w:t>
      </w:r>
    </w:p>
    <w:p w14:paraId="1CC9901C" w14:textId="77777777" w:rsidR="0085413E" w:rsidRPr="0085413E" w:rsidRDefault="0085413E" w:rsidP="0085413E">
      <w:pPr>
        <w:pStyle w:val="bullet1"/>
        <w:numPr>
          <w:ilvl w:val="0"/>
          <w:numId w:val="18"/>
        </w:numPr>
        <w:rPr>
          <w:i/>
          <w:szCs w:val="20"/>
          <w:lang w:eastAsia="ko-KR"/>
        </w:rPr>
      </w:pPr>
      <w:r w:rsidRPr="0085413E">
        <w:rPr>
          <w:rFonts w:hint="eastAsia"/>
          <w:i/>
          <w:szCs w:val="20"/>
          <w:lang w:eastAsia="ko-KR"/>
        </w:rPr>
        <w:t>FFS in the context of Mode 1:</w:t>
      </w:r>
    </w:p>
    <w:p w14:paraId="7BAA3917" w14:textId="77777777" w:rsidR="0085413E" w:rsidRPr="0085413E" w:rsidRDefault="0085413E" w:rsidP="0085413E">
      <w:pPr>
        <w:pStyle w:val="bullet2"/>
        <w:numPr>
          <w:ilvl w:val="1"/>
          <w:numId w:val="18"/>
        </w:numPr>
        <w:rPr>
          <w:i/>
          <w:szCs w:val="20"/>
          <w:lang w:eastAsia="ko-KR"/>
        </w:rPr>
      </w:pPr>
      <w:r w:rsidRPr="0085413E">
        <w:rPr>
          <w:rFonts w:hint="eastAsia"/>
          <w:i/>
          <w:szCs w:val="20"/>
          <w:lang w:eastAsia="ko-KR"/>
        </w:rPr>
        <w:t xml:space="preserve">whether/how to convey </w:t>
      </w:r>
      <w:r w:rsidRPr="0085413E">
        <w:rPr>
          <w:i/>
          <w:szCs w:val="20"/>
          <w:lang w:eastAsia="ko-KR"/>
        </w:rPr>
        <w:t>information</w:t>
      </w:r>
      <w:r w:rsidRPr="0085413E">
        <w:rPr>
          <w:rFonts w:hint="eastAsia"/>
          <w:i/>
          <w:szCs w:val="20"/>
          <w:lang w:eastAsia="ko-KR"/>
        </w:rPr>
        <w:t xml:space="preserve"> for SCI on downlink</w:t>
      </w:r>
    </w:p>
    <w:p w14:paraId="19DCE9EE" w14:textId="4C5D2D07" w:rsidR="00E4379E" w:rsidRPr="001E3087" w:rsidRDefault="0085413E" w:rsidP="0085413E">
      <w:pPr>
        <w:numPr>
          <w:ilvl w:val="1"/>
          <w:numId w:val="18"/>
        </w:numPr>
        <w:rPr>
          <w:rFonts w:ascii="Times" w:eastAsia="Batang" w:hAnsi="Times" w:cs="Times New Roman"/>
          <w:i/>
          <w:sz w:val="20"/>
          <w:szCs w:val="20"/>
          <w:lang w:eastAsia="ko-KR"/>
        </w:rPr>
      </w:pPr>
      <w:r w:rsidRPr="001E3087">
        <w:rPr>
          <w:rFonts w:ascii="Times" w:eastAsia="Batang" w:hAnsi="Times" w:cs="Times New Roman" w:hint="eastAsia"/>
          <w:i/>
          <w:sz w:val="20"/>
          <w:szCs w:val="20"/>
          <w:lang w:eastAsia="ko-KR"/>
        </w:rPr>
        <w:t xml:space="preserve">whether/how to convey </w:t>
      </w:r>
      <w:r w:rsidRPr="001E3087">
        <w:rPr>
          <w:rFonts w:ascii="Times" w:eastAsia="Batang" w:hAnsi="Times" w:cs="Times New Roman"/>
          <w:i/>
          <w:sz w:val="20"/>
          <w:szCs w:val="20"/>
          <w:lang w:eastAsia="ko-KR"/>
        </w:rPr>
        <w:t>information</w:t>
      </w:r>
      <w:r w:rsidRPr="001E3087">
        <w:rPr>
          <w:rFonts w:ascii="Times" w:eastAsia="Batang" w:hAnsi="Times" w:cs="Times New Roman" w:hint="eastAsia"/>
          <w:i/>
          <w:sz w:val="20"/>
          <w:szCs w:val="20"/>
          <w:lang w:eastAsia="ko-KR"/>
        </w:rPr>
        <w:t xml:space="preserve"> of SFCI on uplink</w:t>
      </w:r>
      <w:r w:rsidR="00E4379E" w:rsidRPr="001E3087">
        <w:rPr>
          <w:rFonts w:ascii="Times" w:eastAsia="Batang" w:hAnsi="Times" w:cs="Times New Roman" w:hint="eastAsia"/>
          <w:i/>
          <w:sz w:val="20"/>
          <w:szCs w:val="20"/>
          <w:lang w:eastAsia="ko-KR"/>
        </w:rPr>
        <w:t>.</w:t>
      </w:r>
    </w:p>
    <w:p w14:paraId="5EF3017B" w14:textId="5FDE9240" w:rsidR="00910515" w:rsidRDefault="00910515" w:rsidP="0058787A">
      <w:pPr>
        <w:rPr>
          <w:i/>
          <w:iCs/>
        </w:rPr>
      </w:pPr>
    </w:p>
    <w:p w14:paraId="28A409A7" w14:textId="77777777" w:rsidR="0085413E" w:rsidRPr="0085413E" w:rsidRDefault="0085413E" w:rsidP="0085413E">
      <w:pPr>
        <w:rPr>
          <w:i/>
          <w:szCs w:val="20"/>
          <w:lang w:eastAsia="x-none"/>
        </w:rPr>
      </w:pPr>
      <w:r w:rsidRPr="0085413E">
        <w:rPr>
          <w:i/>
          <w:szCs w:val="20"/>
          <w:highlight w:val="green"/>
          <w:lang w:eastAsia="x-none"/>
        </w:rPr>
        <w:t>Agreements</w:t>
      </w:r>
      <w:r w:rsidRPr="0085413E">
        <w:rPr>
          <w:i/>
          <w:szCs w:val="20"/>
          <w:lang w:eastAsia="x-none"/>
        </w:rPr>
        <w:t>:</w:t>
      </w:r>
    </w:p>
    <w:p w14:paraId="38131D44" w14:textId="77777777" w:rsidR="0085413E" w:rsidRPr="0085413E" w:rsidRDefault="0085413E" w:rsidP="0085413E">
      <w:pPr>
        <w:pStyle w:val="bullet1"/>
        <w:numPr>
          <w:ilvl w:val="0"/>
          <w:numId w:val="16"/>
        </w:numPr>
        <w:rPr>
          <w:i/>
          <w:szCs w:val="20"/>
        </w:rPr>
      </w:pPr>
      <w:r w:rsidRPr="0085413E">
        <w:rPr>
          <w:i/>
          <w:szCs w:val="20"/>
        </w:rPr>
        <w:t xml:space="preserve">At least resource pool is </w:t>
      </w:r>
      <w:r w:rsidRPr="0085413E">
        <w:rPr>
          <w:rFonts w:hint="eastAsia"/>
          <w:i/>
          <w:szCs w:val="20"/>
          <w:lang w:eastAsia="ko-KR"/>
        </w:rPr>
        <w:t>supported</w:t>
      </w:r>
      <w:r w:rsidRPr="0085413E">
        <w:rPr>
          <w:i/>
          <w:szCs w:val="20"/>
        </w:rPr>
        <w:t xml:space="preserve"> for NR sidelink</w:t>
      </w:r>
    </w:p>
    <w:p w14:paraId="50568C20" w14:textId="77777777" w:rsidR="0085413E" w:rsidRPr="0085413E" w:rsidRDefault="0085413E" w:rsidP="0085413E">
      <w:pPr>
        <w:pStyle w:val="bullet2"/>
        <w:numPr>
          <w:ilvl w:val="1"/>
          <w:numId w:val="16"/>
        </w:numPr>
        <w:rPr>
          <w:i/>
          <w:szCs w:val="20"/>
        </w:rPr>
      </w:pPr>
      <w:r w:rsidRPr="0085413E">
        <w:rPr>
          <w:rFonts w:hint="eastAsia"/>
          <w:i/>
          <w:szCs w:val="20"/>
          <w:lang w:eastAsia="ko-KR"/>
        </w:rPr>
        <w:t>Resource pool is a set of time</w:t>
      </w:r>
      <w:r w:rsidRPr="0085413E">
        <w:rPr>
          <w:i/>
          <w:szCs w:val="20"/>
          <w:lang w:eastAsia="ko-KR"/>
        </w:rPr>
        <w:t xml:space="preserve"> and frequency</w:t>
      </w:r>
      <w:r w:rsidRPr="0085413E">
        <w:rPr>
          <w:rFonts w:hint="eastAsia"/>
          <w:i/>
          <w:szCs w:val="20"/>
          <w:lang w:eastAsia="ko-KR"/>
        </w:rPr>
        <w:t xml:space="preserve"> resources that can be used for sidelink transmission and/or reception.</w:t>
      </w:r>
    </w:p>
    <w:p w14:paraId="234A79F9" w14:textId="77777777" w:rsidR="0085413E" w:rsidRPr="0085413E" w:rsidRDefault="0085413E" w:rsidP="0085413E">
      <w:pPr>
        <w:pStyle w:val="bullet3"/>
        <w:numPr>
          <w:ilvl w:val="2"/>
          <w:numId w:val="16"/>
        </w:numPr>
        <w:rPr>
          <w:i/>
          <w:szCs w:val="20"/>
        </w:rPr>
      </w:pPr>
      <w:r w:rsidRPr="0085413E">
        <w:rPr>
          <w:rFonts w:hint="eastAsia"/>
          <w:i/>
          <w:szCs w:val="20"/>
          <w:lang w:eastAsia="ko-KR"/>
        </w:rPr>
        <w:t>FFS whether a resource pool consists of contiguous resources in time and/or frequency.</w:t>
      </w:r>
    </w:p>
    <w:p w14:paraId="7B3610D5" w14:textId="77777777" w:rsidR="0085413E" w:rsidRPr="0085413E" w:rsidRDefault="0085413E" w:rsidP="0085413E">
      <w:pPr>
        <w:pStyle w:val="bullet3"/>
        <w:numPr>
          <w:ilvl w:val="2"/>
          <w:numId w:val="16"/>
        </w:numPr>
        <w:rPr>
          <w:i/>
          <w:szCs w:val="20"/>
        </w:rPr>
      </w:pPr>
      <w:r w:rsidRPr="0085413E">
        <w:rPr>
          <w:rFonts w:hint="eastAsia"/>
          <w:i/>
          <w:szCs w:val="20"/>
          <w:lang w:eastAsia="ko-KR"/>
        </w:rPr>
        <w:t xml:space="preserve">A </w:t>
      </w:r>
      <w:r w:rsidRPr="0085413E">
        <w:rPr>
          <w:i/>
          <w:szCs w:val="20"/>
          <w:lang w:eastAsia="ko-KR"/>
        </w:rPr>
        <w:t>resource</w:t>
      </w:r>
      <w:r w:rsidRPr="0085413E">
        <w:rPr>
          <w:rFonts w:hint="eastAsia"/>
          <w:i/>
          <w:szCs w:val="20"/>
          <w:lang w:eastAsia="ko-KR"/>
        </w:rPr>
        <w:t xml:space="preserve"> pool is inside the RF </w:t>
      </w:r>
      <w:r w:rsidRPr="0085413E">
        <w:rPr>
          <w:i/>
          <w:szCs w:val="20"/>
          <w:lang w:eastAsia="ko-KR"/>
        </w:rPr>
        <w:t>bandwidth</w:t>
      </w:r>
      <w:r w:rsidRPr="0085413E">
        <w:rPr>
          <w:rFonts w:hint="eastAsia"/>
          <w:i/>
          <w:szCs w:val="20"/>
          <w:lang w:eastAsia="ko-KR"/>
        </w:rPr>
        <w:t xml:space="preserve"> of the UE.</w:t>
      </w:r>
    </w:p>
    <w:p w14:paraId="6430B13D" w14:textId="77777777" w:rsidR="0085413E" w:rsidRPr="0085413E" w:rsidRDefault="0085413E" w:rsidP="0085413E">
      <w:pPr>
        <w:pStyle w:val="bullet3"/>
        <w:numPr>
          <w:ilvl w:val="2"/>
          <w:numId w:val="16"/>
        </w:numPr>
        <w:rPr>
          <w:i/>
          <w:szCs w:val="20"/>
        </w:rPr>
      </w:pPr>
      <w:r w:rsidRPr="0085413E">
        <w:rPr>
          <w:rFonts w:hint="eastAsia"/>
          <w:i/>
          <w:szCs w:val="20"/>
          <w:lang w:eastAsia="ko-KR"/>
        </w:rPr>
        <w:t>FFS how gNB and other UEs know the RF bandwidth of the UE</w:t>
      </w:r>
    </w:p>
    <w:p w14:paraId="65CDA0D2" w14:textId="77777777" w:rsidR="0085413E" w:rsidRPr="0085413E" w:rsidRDefault="0085413E" w:rsidP="0085413E">
      <w:pPr>
        <w:pStyle w:val="bullet2"/>
        <w:numPr>
          <w:ilvl w:val="1"/>
          <w:numId w:val="16"/>
        </w:numPr>
        <w:rPr>
          <w:i/>
          <w:szCs w:val="20"/>
        </w:rPr>
      </w:pPr>
      <w:r w:rsidRPr="0085413E">
        <w:rPr>
          <w:i/>
          <w:szCs w:val="20"/>
        </w:rPr>
        <w:t>FFS if BWP (if defined) can be used to in defining at least part of resource pool</w:t>
      </w:r>
    </w:p>
    <w:p w14:paraId="1C9F7B6C" w14:textId="77777777" w:rsidR="0085413E" w:rsidRPr="0085413E" w:rsidRDefault="0085413E" w:rsidP="0085413E">
      <w:pPr>
        <w:pStyle w:val="bullet2"/>
        <w:numPr>
          <w:ilvl w:val="1"/>
          <w:numId w:val="16"/>
        </w:numPr>
        <w:rPr>
          <w:i/>
          <w:szCs w:val="20"/>
        </w:rPr>
      </w:pPr>
      <w:r w:rsidRPr="0085413E">
        <w:rPr>
          <w:rFonts w:hint="eastAsia"/>
          <w:i/>
          <w:szCs w:val="20"/>
        </w:rPr>
        <w:t>FFS if the numerology of a resource pool is indicated as a part of (pre-)configuration for resource pool, carrier, band, or BWP (if defined)</w:t>
      </w:r>
    </w:p>
    <w:p w14:paraId="2D4E9DA0" w14:textId="77777777" w:rsidR="0085413E" w:rsidRPr="0085413E" w:rsidRDefault="0085413E" w:rsidP="0085413E">
      <w:pPr>
        <w:pStyle w:val="bullet2"/>
        <w:numPr>
          <w:ilvl w:val="1"/>
          <w:numId w:val="16"/>
        </w:numPr>
        <w:rPr>
          <w:i/>
          <w:szCs w:val="20"/>
        </w:rPr>
      </w:pPr>
      <w:r w:rsidRPr="0085413E">
        <w:rPr>
          <w:rFonts w:hint="eastAsia"/>
          <w:i/>
          <w:szCs w:val="20"/>
          <w:lang w:eastAsia="ko-KR"/>
        </w:rPr>
        <w:t>UE assumes a single numerology in using a resource pool.</w:t>
      </w:r>
    </w:p>
    <w:p w14:paraId="3C01D03A" w14:textId="715ADB26" w:rsidR="0085413E" w:rsidRPr="0085413E" w:rsidRDefault="0085413E" w:rsidP="0085413E">
      <w:pPr>
        <w:pStyle w:val="bullet2"/>
        <w:numPr>
          <w:ilvl w:val="1"/>
          <w:numId w:val="16"/>
        </w:numPr>
        <w:rPr>
          <w:i/>
          <w:szCs w:val="20"/>
        </w:rPr>
      </w:pPr>
      <w:r w:rsidRPr="0085413E">
        <w:rPr>
          <w:rFonts w:hint="eastAsia"/>
          <w:i/>
          <w:szCs w:val="20"/>
          <w:lang w:eastAsia="ko-KR"/>
        </w:rPr>
        <w:t>M</w:t>
      </w:r>
      <w:r w:rsidRPr="0085413E">
        <w:rPr>
          <w:rFonts w:hint="eastAsia"/>
          <w:i/>
          <w:szCs w:val="20"/>
        </w:rPr>
        <w:t xml:space="preserve">ultiple resource pools </w:t>
      </w:r>
      <w:r w:rsidRPr="0085413E">
        <w:rPr>
          <w:rFonts w:hint="eastAsia"/>
          <w:i/>
          <w:szCs w:val="20"/>
          <w:lang w:eastAsia="ko-KR"/>
        </w:rPr>
        <w:t>can</w:t>
      </w:r>
      <w:r w:rsidRPr="0085413E">
        <w:rPr>
          <w:rFonts w:hint="eastAsia"/>
          <w:i/>
          <w:szCs w:val="20"/>
        </w:rPr>
        <w:t xml:space="preserve"> be configured to a single UE</w:t>
      </w:r>
      <w:r w:rsidRPr="0085413E">
        <w:rPr>
          <w:rFonts w:hint="eastAsia"/>
          <w:i/>
          <w:szCs w:val="20"/>
          <w:lang w:eastAsia="ko-KR"/>
        </w:rPr>
        <w:t xml:space="preserve"> in a given carrier.</w:t>
      </w:r>
      <w:r w:rsidRPr="0085413E">
        <w:rPr>
          <w:i/>
          <w:szCs w:val="20"/>
          <w:lang w:eastAsia="ko-KR"/>
        </w:rPr>
        <w:t xml:space="preserve"> </w:t>
      </w:r>
    </w:p>
    <w:p w14:paraId="2C9E1764" w14:textId="77777777" w:rsidR="0085413E" w:rsidRPr="0085413E" w:rsidRDefault="0085413E" w:rsidP="0085413E">
      <w:pPr>
        <w:pStyle w:val="bullet3"/>
        <w:numPr>
          <w:ilvl w:val="2"/>
          <w:numId w:val="16"/>
        </w:numPr>
        <w:rPr>
          <w:i/>
          <w:szCs w:val="20"/>
        </w:rPr>
      </w:pPr>
      <w:r w:rsidRPr="0085413E">
        <w:rPr>
          <w:rFonts w:hint="eastAsia"/>
          <w:i/>
          <w:szCs w:val="20"/>
          <w:lang w:eastAsia="ko-KR"/>
        </w:rPr>
        <w:t>FFS how to use multiple resource pools when (pre-)configured.</w:t>
      </w:r>
    </w:p>
    <w:p w14:paraId="47F41465" w14:textId="77777777" w:rsidR="0085413E" w:rsidRPr="0085413E" w:rsidRDefault="0085413E" w:rsidP="0085413E">
      <w:pPr>
        <w:pStyle w:val="bullet1"/>
        <w:numPr>
          <w:ilvl w:val="0"/>
          <w:numId w:val="16"/>
        </w:numPr>
        <w:rPr>
          <w:i/>
          <w:szCs w:val="20"/>
        </w:rPr>
      </w:pPr>
      <w:r w:rsidRPr="0085413E">
        <w:rPr>
          <w:i/>
          <w:szCs w:val="20"/>
        </w:rPr>
        <w:t>FFS BWP is supported for NR sidelink</w:t>
      </w:r>
    </w:p>
    <w:p w14:paraId="79BF41F3" w14:textId="77777777" w:rsidR="0085413E" w:rsidRPr="0085413E" w:rsidRDefault="0085413E" w:rsidP="0085413E">
      <w:pPr>
        <w:pStyle w:val="bullet2"/>
        <w:numPr>
          <w:ilvl w:val="1"/>
          <w:numId w:val="16"/>
        </w:numPr>
        <w:rPr>
          <w:i/>
          <w:szCs w:val="20"/>
        </w:rPr>
      </w:pPr>
      <w:r w:rsidRPr="0085413E">
        <w:rPr>
          <w:rFonts w:hint="eastAsia"/>
          <w:i/>
          <w:szCs w:val="20"/>
          <w:lang w:eastAsia="ko-KR"/>
        </w:rPr>
        <w:t>FFS whether RAN1 can assume that at most one BWP is configured in a carrier from the system perspective.</w:t>
      </w:r>
    </w:p>
    <w:p w14:paraId="3952109F" w14:textId="77777777" w:rsidR="0085413E" w:rsidRPr="0085413E" w:rsidRDefault="0085413E" w:rsidP="0085413E">
      <w:pPr>
        <w:pStyle w:val="bullet2"/>
        <w:numPr>
          <w:ilvl w:val="1"/>
          <w:numId w:val="16"/>
        </w:numPr>
        <w:rPr>
          <w:i/>
          <w:szCs w:val="20"/>
        </w:rPr>
      </w:pPr>
      <w:r w:rsidRPr="0085413E">
        <w:rPr>
          <w:rFonts w:hint="eastAsia"/>
          <w:i/>
          <w:szCs w:val="20"/>
          <w:lang w:eastAsia="ko-KR"/>
        </w:rPr>
        <w:t xml:space="preserve">It is RAN1 understanding that, in some cases, the entire system </w:t>
      </w:r>
      <w:r w:rsidRPr="0085413E">
        <w:rPr>
          <w:i/>
          <w:szCs w:val="20"/>
          <w:lang w:eastAsia="ko-KR"/>
        </w:rPr>
        <w:t>bandwidth</w:t>
      </w:r>
      <w:r w:rsidRPr="0085413E">
        <w:rPr>
          <w:rFonts w:hint="eastAsia"/>
          <w:i/>
          <w:szCs w:val="20"/>
          <w:lang w:eastAsia="ko-KR"/>
        </w:rPr>
        <w:t xml:space="preserve"> is covered by a single BWP.</w:t>
      </w:r>
    </w:p>
    <w:p w14:paraId="1C547BA8" w14:textId="77777777" w:rsidR="0085413E" w:rsidRPr="0085413E" w:rsidRDefault="0085413E" w:rsidP="0085413E">
      <w:pPr>
        <w:pStyle w:val="bullet2"/>
        <w:numPr>
          <w:ilvl w:val="1"/>
          <w:numId w:val="16"/>
        </w:numPr>
        <w:rPr>
          <w:i/>
          <w:szCs w:val="20"/>
        </w:rPr>
      </w:pPr>
      <w:r w:rsidRPr="0085413E">
        <w:rPr>
          <w:i/>
          <w:szCs w:val="20"/>
        </w:rPr>
        <w:t>FFS the details of BWP configurations, including the possibility of restricting the number of BWPs</w:t>
      </w:r>
    </w:p>
    <w:p w14:paraId="701891FA" w14:textId="77777777" w:rsidR="0085413E" w:rsidRPr="0085413E" w:rsidRDefault="0085413E" w:rsidP="0085413E">
      <w:pPr>
        <w:pStyle w:val="bullet2"/>
        <w:numPr>
          <w:ilvl w:val="1"/>
          <w:numId w:val="16"/>
        </w:numPr>
        <w:rPr>
          <w:i/>
          <w:szCs w:val="20"/>
        </w:rPr>
      </w:pPr>
      <w:r w:rsidRPr="0085413E">
        <w:rPr>
          <w:rFonts w:hint="eastAsia"/>
          <w:i/>
          <w:szCs w:val="20"/>
          <w:lang w:eastAsia="ko-KR"/>
        </w:rPr>
        <w:t>FFS whether BWP for TX and RX is separated or a common BWP applied to both TX and RX</w:t>
      </w:r>
    </w:p>
    <w:p w14:paraId="79A51BA1" w14:textId="77777777" w:rsidR="0085413E" w:rsidRPr="0085413E" w:rsidRDefault="0085413E" w:rsidP="0085413E">
      <w:pPr>
        <w:pStyle w:val="bullet2"/>
        <w:numPr>
          <w:ilvl w:val="1"/>
          <w:numId w:val="16"/>
        </w:numPr>
        <w:rPr>
          <w:i/>
          <w:szCs w:val="20"/>
        </w:rPr>
      </w:pPr>
      <w:r w:rsidRPr="0085413E">
        <w:rPr>
          <w:i/>
          <w:szCs w:val="20"/>
        </w:rPr>
        <w:t xml:space="preserve">There is at most one activated sidelink BWP for a UE </w:t>
      </w:r>
      <w:r w:rsidRPr="0085413E">
        <w:rPr>
          <w:rFonts w:hint="eastAsia"/>
          <w:i/>
          <w:szCs w:val="20"/>
          <w:lang w:eastAsia="ko-KR"/>
        </w:rPr>
        <w:t xml:space="preserve">in a given carrier </w:t>
      </w:r>
      <w:r w:rsidRPr="0085413E">
        <w:rPr>
          <w:i/>
          <w:szCs w:val="20"/>
        </w:rPr>
        <w:t>as in the Uu case</w:t>
      </w:r>
    </w:p>
    <w:p w14:paraId="4E21DA69" w14:textId="77777777" w:rsidR="0085413E" w:rsidRPr="0085413E" w:rsidRDefault="0085413E" w:rsidP="0085413E">
      <w:pPr>
        <w:pStyle w:val="bullet3"/>
        <w:numPr>
          <w:ilvl w:val="2"/>
          <w:numId w:val="16"/>
        </w:numPr>
        <w:rPr>
          <w:i/>
          <w:szCs w:val="20"/>
        </w:rPr>
      </w:pPr>
      <w:r w:rsidRPr="0085413E">
        <w:rPr>
          <w:rFonts w:hint="eastAsia"/>
          <w:i/>
          <w:szCs w:val="20"/>
          <w:lang w:eastAsia="ko-KR"/>
        </w:rPr>
        <w:t xml:space="preserve">Further study the </w:t>
      </w:r>
      <w:r w:rsidRPr="0085413E">
        <w:rPr>
          <w:i/>
          <w:szCs w:val="20"/>
          <w:lang w:eastAsia="ko-KR"/>
        </w:rPr>
        <w:t>feasibility</w:t>
      </w:r>
      <w:r w:rsidRPr="0085413E">
        <w:rPr>
          <w:rFonts w:hint="eastAsia"/>
          <w:i/>
          <w:szCs w:val="20"/>
          <w:lang w:eastAsia="ko-KR"/>
        </w:rPr>
        <w:t>, benefit, and impact of sidelink BWP switching</w:t>
      </w:r>
    </w:p>
    <w:p w14:paraId="03C4CFC8" w14:textId="77777777" w:rsidR="0085413E" w:rsidRPr="0085413E" w:rsidRDefault="0085413E" w:rsidP="0085413E">
      <w:pPr>
        <w:pStyle w:val="bullet2"/>
        <w:numPr>
          <w:ilvl w:val="1"/>
          <w:numId w:val="16"/>
        </w:numPr>
        <w:rPr>
          <w:i/>
          <w:szCs w:val="20"/>
          <w:lang w:eastAsia="ko-KR"/>
        </w:rPr>
      </w:pPr>
      <w:r w:rsidRPr="0085413E">
        <w:rPr>
          <w:i/>
          <w:szCs w:val="20"/>
        </w:rPr>
        <w:t>Ai</w:t>
      </w:r>
      <w:r w:rsidRPr="0085413E">
        <w:rPr>
          <w:i/>
          <w:szCs w:val="20"/>
          <w:lang w:eastAsia="ko-KR"/>
        </w:rPr>
        <w:t>m to conclude in RAN1#95</w:t>
      </w:r>
    </w:p>
    <w:p w14:paraId="5C918A90" w14:textId="2473B279" w:rsidR="00E4379E" w:rsidRPr="0085413E" w:rsidRDefault="0085413E" w:rsidP="0085413E">
      <w:pPr>
        <w:pStyle w:val="ListParagraph"/>
        <w:numPr>
          <w:ilvl w:val="2"/>
          <w:numId w:val="16"/>
        </w:numPr>
        <w:spacing w:line="276" w:lineRule="auto"/>
        <w:contextualSpacing/>
        <w:rPr>
          <w:rFonts w:ascii="Times" w:eastAsia="Batang" w:hAnsi="Times" w:cs="Times New Roman"/>
          <w:i/>
          <w:sz w:val="20"/>
          <w:szCs w:val="20"/>
          <w:lang w:val="en-GB" w:eastAsia="ko-KR"/>
        </w:rPr>
      </w:pPr>
      <w:r w:rsidRPr="0085413E">
        <w:rPr>
          <w:rFonts w:ascii="Times" w:eastAsia="Batang" w:hAnsi="Times" w:cs="Times New Roman"/>
          <w:i/>
          <w:sz w:val="20"/>
          <w:szCs w:val="20"/>
          <w:lang w:val="en-GB" w:eastAsia="ko-KR"/>
        </w:rPr>
        <w:lastRenderedPageBreak/>
        <w:t>Companies are encouraged to provide more analysis, including checking current Rel-15 specification regarding BWP related text.</w:t>
      </w:r>
    </w:p>
    <w:p w14:paraId="52457D39" w14:textId="43716A00" w:rsidR="00E4379E" w:rsidRDefault="00E4379E" w:rsidP="0058787A">
      <w:pPr>
        <w:rPr>
          <w:iCs/>
        </w:rPr>
      </w:pPr>
    </w:p>
    <w:p w14:paraId="2B8CB363" w14:textId="7DA6AA03" w:rsidR="0037209D" w:rsidRPr="0085413E" w:rsidRDefault="0037209D" w:rsidP="0058787A">
      <w:r w:rsidRPr="0085413E">
        <w:rPr>
          <w:rFonts w:hint="eastAsia"/>
        </w:rPr>
        <w:t xml:space="preserve">In this contribution, </w:t>
      </w:r>
      <w:r w:rsidRPr="0085413E">
        <w:t xml:space="preserve">we </w:t>
      </w:r>
      <w:r w:rsidR="00E4379E" w:rsidRPr="0085413E">
        <w:t>make further discussions</w:t>
      </w:r>
      <w:r w:rsidRPr="0085413E">
        <w:t xml:space="preserve"> on NR V2X sidelink physical layer</w:t>
      </w:r>
      <w:r w:rsidR="00B75220" w:rsidRPr="0085413E">
        <w:t xml:space="preserve"> structures and procedures and propose some observations and proposals. </w:t>
      </w:r>
    </w:p>
    <w:p w14:paraId="4FCA9F6D" w14:textId="77777777" w:rsidR="00910515" w:rsidRPr="00313E18" w:rsidRDefault="00910515" w:rsidP="0058787A">
      <w:pPr>
        <w:rPr>
          <w:iCs/>
        </w:rPr>
      </w:pPr>
    </w:p>
    <w:p w14:paraId="28D51CBB" w14:textId="30ED896B" w:rsidR="00F67C1F" w:rsidRPr="00336607" w:rsidRDefault="00A93F33" w:rsidP="00FC58B1">
      <w:pPr>
        <w:pStyle w:val="Heading1"/>
        <w:numPr>
          <w:ilvl w:val="0"/>
          <w:numId w:val="31"/>
        </w:numPr>
        <w:spacing w:after="120"/>
        <w:jc w:val="both"/>
        <w:rPr>
          <w:lang w:val="en-US" w:eastAsia="zh-CN"/>
        </w:rPr>
      </w:pPr>
      <w:r>
        <w:rPr>
          <w:lang w:val="en-US" w:eastAsia="zh-CN"/>
        </w:rPr>
        <w:t xml:space="preserve">Discussion of </w:t>
      </w:r>
      <w:r w:rsidR="00E075A4">
        <w:rPr>
          <w:lang w:val="en-US" w:eastAsia="zh-CN"/>
        </w:rPr>
        <w:t>NR V2X sidelink physical layer structures and procedures</w:t>
      </w:r>
    </w:p>
    <w:p w14:paraId="3D0437AC" w14:textId="4A691082" w:rsidR="00967F74" w:rsidRPr="00967F74" w:rsidRDefault="00967F74" w:rsidP="00967F74">
      <w:pPr>
        <w:pStyle w:val="Heading2"/>
        <w:rPr>
          <w:rFonts w:eastAsiaTheme="minorEastAsia"/>
          <w:lang w:eastAsia="zh-CN"/>
        </w:rPr>
      </w:pPr>
      <w:r>
        <w:rPr>
          <w:rFonts w:eastAsiaTheme="minorEastAsia" w:hint="eastAsia"/>
          <w:lang w:eastAsia="zh-CN"/>
        </w:rPr>
        <w:t>2.2 Waveform for sidelink</w:t>
      </w:r>
    </w:p>
    <w:p w14:paraId="0FBE4884" w14:textId="1F3AB987" w:rsidR="00714ABF" w:rsidRDefault="00714ABF" w:rsidP="00336607">
      <w:pPr>
        <w:spacing w:beforeLines="50" w:before="120" w:afterLines="50" w:after="120"/>
      </w:pPr>
      <w:r>
        <w:t>NR sidelink shall support FR2 operation, as well as FR1 operation, based on SID [1]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14ABF" w:rsidRPr="0046285A" w14:paraId="5952B244" w14:textId="77777777" w:rsidTr="009F2EE1">
        <w:tc>
          <w:tcPr>
            <w:tcW w:w="9629" w:type="dxa"/>
            <w:shd w:val="clear" w:color="auto" w:fill="auto"/>
          </w:tcPr>
          <w:p w14:paraId="11F0AE12" w14:textId="77777777" w:rsidR="00714ABF" w:rsidRPr="003B08DB" w:rsidRDefault="00714ABF" w:rsidP="00336607">
            <w:pPr>
              <w:spacing w:beforeLines="50" w:before="120" w:afterLines="50" w:after="120"/>
              <w:ind w:left="45"/>
            </w:pPr>
            <w:r w:rsidRPr="003B08DB">
              <w:rPr>
                <w:b/>
                <w:bCs/>
              </w:rPr>
              <w:t>Sidelink frequency</w:t>
            </w:r>
            <w:r w:rsidRPr="003B08DB">
              <w:t>:</w:t>
            </w:r>
            <w:r w:rsidRPr="003B08DB">
              <w:rPr>
                <w:color w:val="00B050"/>
              </w:rPr>
              <w:t xml:space="preserve"> </w:t>
            </w:r>
            <w:r w:rsidRPr="003B08DB">
              <w:t xml:space="preserve">Sidelink frequencies for FR1 and FR2 (i.e. up to 52.6 GHz) unlicensed ITS bands and licensed bands are considered in the study. </w:t>
            </w:r>
            <w:r w:rsidRPr="003B08DB">
              <w:rPr>
                <w:lang w:eastAsia="ko-KR"/>
              </w:rPr>
              <w:t>The target is to have a common sidelink design for both FR1 and FR2. The closing of the SI and the opening of the WI should not be dependent on the completion level of FR2, although it is targeted to complete SI aspects for both FR1 and FR2.</w:t>
            </w:r>
          </w:p>
        </w:tc>
      </w:tr>
    </w:tbl>
    <w:p w14:paraId="5F8CD98A" w14:textId="244F84FD" w:rsidR="00714ABF" w:rsidRDefault="00714ABF" w:rsidP="00336607">
      <w:pPr>
        <w:spacing w:beforeLines="50" w:before="120" w:afterLines="50" w:after="120"/>
      </w:pPr>
      <w:r>
        <w:t xml:space="preserve">As for “a common sidelink design for both FR1 and FR2”, sidelink waveform shall accommodate both FR1 and FR2 as well. The comparison for the two candidate waveforms can be summarized in the comparison table </w:t>
      </w:r>
      <w:r>
        <w:fldChar w:fldCharType="begin"/>
      </w:r>
      <w:r>
        <w:instrText xml:space="preserve"> REF _Ref525822256 \h </w:instrText>
      </w:r>
      <w:r>
        <w:fldChar w:fldCharType="separate"/>
      </w:r>
      <w:r>
        <w:t xml:space="preserve">Table </w:t>
      </w:r>
      <w:r>
        <w:rPr>
          <w:noProof/>
        </w:rPr>
        <w:t>1</w:t>
      </w:r>
      <w:r>
        <w:fldChar w:fldCharType="end"/>
      </w:r>
      <w:r>
        <w:t>:</w:t>
      </w:r>
    </w:p>
    <w:p w14:paraId="398273E7" w14:textId="77777777" w:rsidR="00714ABF" w:rsidRDefault="00714ABF" w:rsidP="00714ABF">
      <w:pPr>
        <w:pStyle w:val="Caption"/>
        <w:keepNext/>
        <w:jc w:val="center"/>
      </w:pPr>
      <w:bookmarkStart w:id="1" w:name="_Ref525822256"/>
      <w:r>
        <w:t xml:space="preserve">Table </w:t>
      </w:r>
      <w:r w:rsidR="00DB1CBF">
        <w:rPr>
          <w:noProof/>
        </w:rPr>
        <w:fldChar w:fldCharType="begin"/>
      </w:r>
      <w:r w:rsidR="00DB1CBF">
        <w:rPr>
          <w:noProof/>
        </w:rPr>
        <w:instrText xml:space="preserve"> SEQ Table \* ARABIC </w:instrText>
      </w:r>
      <w:r w:rsidR="00DB1CBF">
        <w:rPr>
          <w:noProof/>
        </w:rPr>
        <w:fldChar w:fldCharType="separate"/>
      </w:r>
      <w:r>
        <w:rPr>
          <w:noProof/>
        </w:rPr>
        <w:t>1</w:t>
      </w:r>
      <w:r w:rsidR="00DB1CBF">
        <w:rPr>
          <w:noProof/>
        </w:rPr>
        <w:fldChar w:fldCharType="end"/>
      </w:r>
      <w:bookmarkEnd w:id="1"/>
      <w:r>
        <w:t xml:space="preserve">    Comparison of CP-OFDM and DFT-S-OFDM waveform for V2X sidelink</w:t>
      </w:r>
    </w:p>
    <w:tbl>
      <w:tblPr>
        <w:tblStyle w:val="TableGrid"/>
        <w:tblW w:w="0" w:type="auto"/>
        <w:jc w:val="center"/>
        <w:tblLook w:val="04A0" w:firstRow="1" w:lastRow="0" w:firstColumn="1" w:lastColumn="0" w:noHBand="0" w:noVBand="1"/>
      </w:tblPr>
      <w:tblGrid>
        <w:gridCol w:w="3780"/>
        <w:gridCol w:w="2880"/>
        <w:gridCol w:w="2767"/>
      </w:tblGrid>
      <w:tr w:rsidR="00714ABF" w14:paraId="670BD3E5" w14:textId="77777777" w:rsidTr="009F2EE1">
        <w:trPr>
          <w:jc w:val="center"/>
        </w:trPr>
        <w:tc>
          <w:tcPr>
            <w:tcW w:w="3780" w:type="dxa"/>
          </w:tcPr>
          <w:p w14:paraId="5CA5268E" w14:textId="77777777" w:rsidR="00714ABF" w:rsidRDefault="00714ABF" w:rsidP="009F2EE1"/>
        </w:tc>
        <w:tc>
          <w:tcPr>
            <w:tcW w:w="2880" w:type="dxa"/>
          </w:tcPr>
          <w:p w14:paraId="46C4F3EC" w14:textId="77777777" w:rsidR="00714ABF" w:rsidRDefault="00714ABF" w:rsidP="009F2EE1">
            <w:r>
              <w:t>CP-OFDM</w:t>
            </w:r>
          </w:p>
        </w:tc>
        <w:tc>
          <w:tcPr>
            <w:tcW w:w="2767" w:type="dxa"/>
          </w:tcPr>
          <w:p w14:paraId="0CCE7283" w14:textId="77777777" w:rsidR="00714ABF" w:rsidRDefault="00714ABF" w:rsidP="009F2EE1">
            <w:r>
              <w:t>DFT-S-OFDM</w:t>
            </w:r>
          </w:p>
        </w:tc>
      </w:tr>
      <w:tr w:rsidR="00714ABF" w14:paraId="30150329" w14:textId="77777777" w:rsidTr="009F2EE1">
        <w:trPr>
          <w:jc w:val="center"/>
        </w:trPr>
        <w:tc>
          <w:tcPr>
            <w:tcW w:w="3780" w:type="dxa"/>
          </w:tcPr>
          <w:p w14:paraId="4BCCDCE5" w14:textId="77777777" w:rsidR="00714ABF" w:rsidRDefault="00714ABF" w:rsidP="009F2EE1">
            <w:r>
              <w:t>Support of high throughput</w:t>
            </w:r>
          </w:p>
        </w:tc>
        <w:tc>
          <w:tcPr>
            <w:tcW w:w="2880" w:type="dxa"/>
          </w:tcPr>
          <w:p w14:paraId="0D431BD4" w14:textId="77777777" w:rsidR="00714ABF" w:rsidRDefault="00714ABF" w:rsidP="009F2EE1">
            <w:r>
              <w:t>good</w:t>
            </w:r>
          </w:p>
        </w:tc>
        <w:tc>
          <w:tcPr>
            <w:tcW w:w="2767" w:type="dxa"/>
          </w:tcPr>
          <w:p w14:paraId="628F574D" w14:textId="77777777" w:rsidR="00714ABF" w:rsidRDefault="00714ABF" w:rsidP="009F2EE1">
            <w:r>
              <w:t>good</w:t>
            </w:r>
          </w:p>
        </w:tc>
      </w:tr>
      <w:tr w:rsidR="00714ABF" w14:paraId="166ED1EA" w14:textId="77777777" w:rsidTr="009F2EE1">
        <w:trPr>
          <w:jc w:val="center"/>
        </w:trPr>
        <w:tc>
          <w:tcPr>
            <w:tcW w:w="3780" w:type="dxa"/>
          </w:tcPr>
          <w:p w14:paraId="3126FBBC" w14:textId="77777777" w:rsidR="00714ABF" w:rsidRDefault="00714ABF" w:rsidP="009F2EE1">
            <w:r>
              <w:t>Scalability with various subcarrier spacing</w:t>
            </w:r>
          </w:p>
        </w:tc>
        <w:tc>
          <w:tcPr>
            <w:tcW w:w="2880" w:type="dxa"/>
          </w:tcPr>
          <w:p w14:paraId="3F942BD8" w14:textId="77777777" w:rsidR="00714ABF" w:rsidRDefault="00714ABF" w:rsidP="009F2EE1">
            <w:r>
              <w:t>yes</w:t>
            </w:r>
          </w:p>
        </w:tc>
        <w:tc>
          <w:tcPr>
            <w:tcW w:w="2767" w:type="dxa"/>
          </w:tcPr>
          <w:p w14:paraId="3262E16D" w14:textId="77777777" w:rsidR="00714ABF" w:rsidRDefault="00714ABF" w:rsidP="009F2EE1">
            <w:r>
              <w:t>Yes</w:t>
            </w:r>
          </w:p>
        </w:tc>
      </w:tr>
      <w:tr w:rsidR="00714ABF" w14:paraId="2D9A95AA" w14:textId="77777777" w:rsidTr="009F2EE1">
        <w:trPr>
          <w:jc w:val="center"/>
        </w:trPr>
        <w:tc>
          <w:tcPr>
            <w:tcW w:w="3780" w:type="dxa"/>
          </w:tcPr>
          <w:p w14:paraId="3477C424" w14:textId="77777777" w:rsidR="00714ABF" w:rsidRDefault="00714ABF" w:rsidP="009F2EE1">
            <w:r>
              <w:t>Flexibility in frequency domain resource allocation</w:t>
            </w:r>
          </w:p>
        </w:tc>
        <w:tc>
          <w:tcPr>
            <w:tcW w:w="2880" w:type="dxa"/>
          </w:tcPr>
          <w:p w14:paraId="71AC7384" w14:textId="77777777" w:rsidR="00714ABF" w:rsidRDefault="00714ABF" w:rsidP="009F2EE1">
            <w:r>
              <w:t>flexible</w:t>
            </w:r>
          </w:p>
        </w:tc>
        <w:tc>
          <w:tcPr>
            <w:tcW w:w="2767" w:type="dxa"/>
          </w:tcPr>
          <w:p w14:paraId="7FD87201" w14:textId="77777777" w:rsidR="00714ABF" w:rsidRDefault="00714ABF" w:rsidP="009F2EE1">
            <w:r>
              <w:t>Not flexible due to the maintenance of single carrier property</w:t>
            </w:r>
          </w:p>
        </w:tc>
      </w:tr>
      <w:tr w:rsidR="00714ABF" w14:paraId="4454315F" w14:textId="77777777" w:rsidTr="009F2EE1">
        <w:trPr>
          <w:jc w:val="center"/>
        </w:trPr>
        <w:tc>
          <w:tcPr>
            <w:tcW w:w="3780" w:type="dxa"/>
          </w:tcPr>
          <w:p w14:paraId="1E6C53A1" w14:textId="77777777" w:rsidR="00714ABF" w:rsidRDefault="00714ABF" w:rsidP="009F2EE1">
            <w:r>
              <w:t>PAPR property</w:t>
            </w:r>
          </w:p>
        </w:tc>
        <w:tc>
          <w:tcPr>
            <w:tcW w:w="2880" w:type="dxa"/>
          </w:tcPr>
          <w:p w14:paraId="3CD11C28" w14:textId="77777777" w:rsidR="00714ABF" w:rsidRDefault="00714ABF" w:rsidP="009F2EE1">
            <w:r>
              <w:t>Poor due to OFDM waveform</w:t>
            </w:r>
          </w:p>
        </w:tc>
        <w:tc>
          <w:tcPr>
            <w:tcW w:w="2767" w:type="dxa"/>
          </w:tcPr>
          <w:p w14:paraId="3D320E1D" w14:textId="77777777" w:rsidR="00714ABF" w:rsidRDefault="00714ABF" w:rsidP="009F2EE1">
            <w:r>
              <w:t>Good</w:t>
            </w:r>
          </w:p>
        </w:tc>
      </w:tr>
      <w:tr w:rsidR="00714ABF" w14:paraId="1B657E89" w14:textId="77777777" w:rsidTr="009F2EE1">
        <w:trPr>
          <w:jc w:val="center"/>
        </w:trPr>
        <w:tc>
          <w:tcPr>
            <w:tcW w:w="3780" w:type="dxa"/>
          </w:tcPr>
          <w:p w14:paraId="6CF6E43F" w14:textId="77777777" w:rsidR="00714ABF" w:rsidRDefault="00714ABF" w:rsidP="009F2EE1">
            <w:r>
              <w:t>Coverage with full power transmission</w:t>
            </w:r>
          </w:p>
        </w:tc>
        <w:tc>
          <w:tcPr>
            <w:tcW w:w="2880" w:type="dxa"/>
          </w:tcPr>
          <w:p w14:paraId="569F43D0" w14:textId="77777777" w:rsidR="00714ABF" w:rsidRDefault="00714ABF" w:rsidP="009F2EE1">
            <w:r>
              <w:t>good</w:t>
            </w:r>
          </w:p>
        </w:tc>
        <w:tc>
          <w:tcPr>
            <w:tcW w:w="2767" w:type="dxa"/>
          </w:tcPr>
          <w:p w14:paraId="36F97760" w14:textId="77777777" w:rsidR="00714ABF" w:rsidRDefault="00714ABF" w:rsidP="009F2EE1">
            <w:r>
              <w:t>Better than CP-OFDM due to its better PAPR property</w:t>
            </w:r>
          </w:p>
        </w:tc>
      </w:tr>
    </w:tbl>
    <w:p w14:paraId="1FB40D63" w14:textId="77777777" w:rsidR="00714ABF" w:rsidRDefault="00714ABF" w:rsidP="00714ABF"/>
    <w:p w14:paraId="3BAB1F99" w14:textId="1048B622" w:rsidR="00967F74" w:rsidRPr="00336607" w:rsidRDefault="00714ABF" w:rsidP="00336607">
      <w:pPr>
        <w:spacing w:beforeLines="50" w:before="120" w:afterLines="50" w:after="120"/>
      </w:pPr>
      <w:r>
        <w:t xml:space="preserve">The major drawback of DFT-S-OFDM is its inflexibility in frequency domain allocation. The allocated subcarriers have to be either continuous or uniformly distributed to maintain its single carrier property for DFT-S-OFDM. </w:t>
      </w:r>
      <w:r>
        <w:lastRenderedPageBreak/>
        <w:t>Potential frequency domain multiplexing would be quite limited for DFT-S-OFDM. On the other hand, the benefit of DFT-S-OFDM is its low PAPR property, which potentially provides better coverage than CP-OFDM for full power transmission. This could be beneficial for FR2 operation where coverage (or transmission range) is a more important design factor.</w:t>
      </w:r>
      <w:r w:rsidR="006F73BE">
        <w:t xml:space="preserve"> Considering the comparison between CP-OFDM and DFT-S-OFDM, and FR1 has higher priority than FR2, we can consider to support CP-OFDM, at least for FR1 operation.</w:t>
      </w:r>
    </w:p>
    <w:p w14:paraId="2C2F47DD" w14:textId="507FFAE9" w:rsidR="006F73BE" w:rsidRPr="00336607" w:rsidRDefault="006F73BE" w:rsidP="00336607">
      <w:pPr>
        <w:spacing w:beforeLines="50" w:before="120" w:afterLines="50" w:after="120"/>
        <w:rPr>
          <w:b/>
        </w:rPr>
      </w:pPr>
      <w:r w:rsidRPr="00AB0955">
        <w:rPr>
          <w:b/>
        </w:rPr>
        <w:t>Proposal</w:t>
      </w:r>
      <w:r w:rsidR="00AB0955">
        <w:rPr>
          <w:b/>
        </w:rPr>
        <w:t xml:space="preserve"> 1: </w:t>
      </w:r>
      <w:r w:rsidRPr="00AB0955">
        <w:rPr>
          <w:b/>
        </w:rPr>
        <w:t xml:space="preserve">Support CP-OFDM as sidelink </w:t>
      </w:r>
      <w:r w:rsidR="00C662F2">
        <w:rPr>
          <w:b/>
        </w:rPr>
        <w:t xml:space="preserve">waveform </w:t>
      </w:r>
      <w:r w:rsidRPr="00AB0955">
        <w:rPr>
          <w:b/>
        </w:rPr>
        <w:t>design, at least for FR1.</w:t>
      </w:r>
    </w:p>
    <w:p w14:paraId="2EE7F84A" w14:textId="58C99E33" w:rsidR="00967F74" w:rsidRPr="00336607" w:rsidRDefault="00763B78" w:rsidP="00336607">
      <w:pPr>
        <w:spacing w:beforeLines="50" w:before="120" w:afterLines="50" w:after="120"/>
      </w:pPr>
      <w:r>
        <w:t>There was discussion in the last RAN1 meeting to support multiple waveforms for different channel. For example, sidelink control channel may use DFT-S-OFDM while sidelink data channel may use CP-OFDM. While this approach might have its benefits in providing better coverage performance for control channel, its drawback is also obvious. All sidelink UE will maintain two processing units for two waveforms. Therefore, we propose</w:t>
      </w:r>
    </w:p>
    <w:p w14:paraId="13E632AA" w14:textId="1600C145" w:rsidR="00D05EA6" w:rsidRPr="00AB0955" w:rsidRDefault="00763B78" w:rsidP="00336607">
      <w:pPr>
        <w:spacing w:beforeLines="50" w:before="120" w:afterLines="50" w:after="120"/>
        <w:rPr>
          <w:b/>
        </w:rPr>
      </w:pPr>
      <w:r w:rsidRPr="00AB0955">
        <w:rPr>
          <w:b/>
        </w:rPr>
        <w:t>Proposal</w:t>
      </w:r>
      <w:r w:rsidR="00AB0955">
        <w:rPr>
          <w:b/>
        </w:rPr>
        <w:t xml:space="preserve"> 2: </w:t>
      </w:r>
      <w:r w:rsidRPr="00AB0955">
        <w:rPr>
          <w:b/>
        </w:rPr>
        <w:t xml:space="preserve">Support single waveform design for sidelink physical data </w:t>
      </w:r>
      <w:r w:rsidR="00C662F2">
        <w:rPr>
          <w:b/>
        </w:rPr>
        <w:t xml:space="preserve">channel PSSCH </w:t>
      </w:r>
      <w:r w:rsidRPr="00AB0955">
        <w:rPr>
          <w:b/>
        </w:rPr>
        <w:t>and control channel</w:t>
      </w:r>
      <w:r w:rsidR="00C662F2">
        <w:rPr>
          <w:b/>
        </w:rPr>
        <w:t xml:space="preserve"> PSCCH</w:t>
      </w:r>
      <w:r w:rsidRPr="00AB0955">
        <w:rPr>
          <w:b/>
        </w:rPr>
        <w:t>.</w:t>
      </w:r>
    </w:p>
    <w:p w14:paraId="6BA8EEE7" w14:textId="77777777" w:rsidR="00A41DFC" w:rsidRPr="00AB0955" w:rsidRDefault="00A41DFC" w:rsidP="00E503E6"/>
    <w:p w14:paraId="7CAAABE4" w14:textId="13D33428" w:rsidR="001E3087" w:rsidRDefault="00A41DFC" w:rsidP="004F15E2">
      <w:pPr>
        <w:pStyle w:val="Heading2"/>
        <w:numPr>
          <w:ilvl w:val="1"/>
          <w:numId w:val="31"/>
        </w:numPr>
      </w:pPr>
      <w:r w:rsidRPr="00AB0955">
        <w:t>N</w:t>
      </w:r>
      <w:r w:rsidRPr="00AB0955">
        <w:rPr>
          <w:rFonts w:hint="eastAsia"/>
        </w:rPr>
        <w:t xml:space="preserve">umerology </w:t>
      </w:r>
      <w:r w:rsidRPr="00AB0955">
        <w:t>for sidelink</w:t>
      </w:r>
    </w:p>
    <w:p w14:paraId="3BD29EB4" w14:textId="2D9581C0" w:rsidR="001E3087" w:rsidRDefault="001E3087" w:rsidP="00336607">
      <w:pPr>
        <w:spacing w:beforeLines="50" w:before="120" w:afterLines="50" w:after="120"/>
      </w:pPr>
      <w:r>
        <w:t xml:space="preserve">At the RAN1-94bis meeting, it was agreed that NR sidelink supports the SCSs supported by Uu in a given frequency range, i.e. {15, 30, 60 kHz} in FR1 and {60, 120 kHz} in FR2 and the supported CP length is FFS.  In Rel-15 NR Uu definition, </w:t>
      </w:r>
      <w:r w:rsidR="00537D79">
        <w:t xml:space="preserve">the normal CP length is supported for all the SCSs and the extended CP length is supported only for SCS of 60 kHz. The CP lengths for all the SCSs are listed in table 2. </w:t>
      </w:r>
    </w:p>
    <w:p w14:paraId="11CFBB6A" w14:textId="007A3921" w:rsidR="00537D79" w:rsidRDefault="00537D79" w:rsidP="00336607">
      <w:pPr>
        <w:spacing w:beforeLines="50" w:before="120" w:afterLines="50" w:after="120"/>
      </w:pPr>
      <w:r>
        <w:t>I</w:t>
      </w:r>
      <w:r>
        <w:rPr>
          <w:rFonts w:hint="eastAsia"/>
        </w:rPr>
        <w:t xml:space="preserve">n </w:t>
      </w:r>
      <w:r>
        <w:t xml:space="preserve">sidelink transmissions, </w:t>
      </w:r>
      <w:r w:rsidR="00630498">
        <w:t xml:space="preserve">the transmitter makes the transmission timing control with its synchronization source timing as reference. Hence, in the receiver perspective, the CP length need to accommodate </w:t>
      </w:r>
      <w:r w:rsidR="007B26B2">
        <w:t>not only the multi-path channel delay spread, but also the propagation delays and the potential timing errors</w:t>
      </w:r>
      <w:r w:rsidR="00394BFC">
        <w:t xml:space="preserve"> for different transmitters</w:t>
      </w:r>
      <w:r w:rsidR="007B26B2">
        <w:t xml:space="preserve">. </w:t>
      </w:r>
      <w:r w:rsidR="0025508B">
        <w:t xml:space="preserve">In particular, </w:t>
      </w:r>
      <w:r w:rsidR="005429A8">
        <w:t xml:space="preserve">the propagation delay difference for the simultaneous near and far transmitters impose more strict requirements for the CP length of the sidelink transmissions. However, the Rel-15 Uu </w:t>
      </w:r>
      <w:r w:rsidR="0013747F">
        <w:t xml:space="preserve">provides flexible </w:t>
      </w:r>
      <w:r w:rsidR="005429A8">
        <w:t xml:space="preserve">support </w:t>
      </w:r>
      <w:r w:rsidR="0013747F">
        <w:t>for various CP durations e.g.</w:t>
      </w:r>
      <w:r w:rsidR="005429A8">
        <w:t xml:space="preserve"> {4.7, 2.3, 1.2 us} for FR1 and {4.2, 1.2, 0.6 us} for FR2</w:t>
      </w:r>
      <w:r w:rsidR="0013747F">
        <w:t>, which may be enough to support the sidelink transmissions</w:t>
      </w:r>
      <w:r w:rsidR="005429A8">
        <w:t xml:space="preserve">. Here it is assumed that </w:t>
      </w:r>
      <w:r w:rsidR="0013747F">
        <w:t xml:space="preserve">only normal CP is used in FR1 while normal or </w:t>
      </w:r>
      <w:r w:rsidR="005429A8">
        <w:t xml:space="preserve">extended </w:t>
      </w:r>
      <w:r w:rsidR="0013747F">
        <w:t xml:space="preserve">CP </w:t>
      </w:r>
      <w:r w:rsidR="004447A8">
        <w:t>is</w:t>
      </w:r>
      <w:r w:rsidR="0013747F">
        <w:t xml:space="preserve"> used for FR2 considering that the normal CP length 1.2us for SCS 60 kHz may not be sufficient for some usage scenarios in FR2. </w:t>
      </w:r>
      <w:r w:rsidR="00376767">
        <w:t xml:space="preserve"> </w:t>
      </w:r>
      <w:r w:rsidR="0013747F">
        <w:t xml:space="preserve">Note </w:t>
      </w:r>
      <w:r w:rsidR="002F4117">
        <w:t>that with the</w:t>
      </w:r>
      <w:r w:rsidR="0013747F">
        <w:t xml:space="preserve"> </w:t>
      </w:r>
      <w:r w:rsidR="00E74C75">
        <w:t>CP configurations, it means that the V2X sidelink services can be arranged to different carriers each with different numerology configurations</w:t>
      </w:r>
      <w:r w:rsidR="002F4117">
        <w:t xml:space="preserve">, e.g. in FR1 the V2X sidelink service that requires large transmission range can be scheduled to the carrier with 15 kHz SCS and other services can be scheduled to the carrier with </w:t>
      </w:r>
      <w:r w:rsidR="004447A8">
        <w:t>larger</w:t>
      </w:r>
      <w:r w:rsidR="002F4117">
        <w:t xml:space="preserve"> SCS. </w:t>
      </w:r>
    </w:p>
    <w:p w14:paraId="6FC24560" w14:textId="38570FBA" w:rsidR="003F71C2" w:rsidRDefault="00FB684D" w:rsidP="004F15E2">
      <w:r>
        <w:t xml:space="preserve"> </w:t>
      </w:r>
    </w:p>
    <w:p w14:paraId="7ACD18C5" w14:textId="3C1387DC" w:rsidR="00071690" w:rsidRPr="00AB0955" w:rsidRDefault="00AE0932" w:rsidP="00AE0932">
      <w:pPr>
        <w:jc w:val="center"/>
        <w:rPr>
          <w:b/>
        </w:rPr>
      </w:pPr>
      <w:r w:rsidRPr="00AB0955">
        <w:rPr>
          <w:b/>
        </w:rPr>
        <w:t>T</w:t>
      </w:r>
      <w:r w:rsidRPr="00AB0955">
        <w:rPr>
          <w:rFonts w:hint="eastAsia"/>
          <w:b/>
        </w:rPr>
        <w:t xml:space="preserve">able </w:t>
      </w:r>
      <w:r w:rsidR="004758C1" w:rsidRPr="00AB0955">
        <w:rPr>
          <w:b/>
        </w:rPr>
        <w:t>2</w:t>
      </w:r>
      <w:r w:rsidRPr="00AB0955">
        <w:rPr>
          <w:b/>
        </w:rPr>
        <w:t>: Duration values for various SCS parameters</w:t>
      </w:r>
    </w:p>
    <w:tbl>
      <w:tblPr>
        <w:tblStyle w:val="TableGrid"/>
        <w:tblW w:w="0" w:type="auto"/>
        <w:jc w:val="center"/>
        <w:tblLook w:val="04A0" w:firstRow="1" w:lastRow="0" w:firstColumn="1" w:lastColumn="0" w:noHBand="0" w:noVBand="1"/>
      </w:tblPr>
      <w:tblGrid>
        <w:gridCol w:w="1413"/>
        <w:gridCol w:w="1701"/>
        <w:gridCol w:w="1559"/>
        <w:gridCol w:w="1843"/>
      </w:tblGrid>
      <w:tr w:rsidR="00C7591F" w14:paraId="403B389D" w14:textId="74F2040F" w:rsidTr="00C7591F">
        <w:trPr>
          <w:jc w:val="center"/>
        </w:trPr>
        <w:tc>
          <w:tcPr>
            <w:tcW w:w="1413" w:type="dxa"/>
          </w:tcPr>
          <w:p w14:paraId="2D5F2F68" w14:textId="013F19D6" w:rsidR="00C7591F" w:rsidRDefault="00C7591F" w:rsidP="004F15E2">
            <w:r>
              <w:t>S</w:t>
            </w:r>
            <w:r>
              <w:rPr>
                <w:rFonts w:hint="eastAsia"/>
              </w:rPr>
              <w:t>ub</w:t>
            </w:r>
            <w:r>
              <w:t>carrier spacing (kHz)</w:t>
            </w:r>
          </w:p>
        </w:tc>
        <w:tc>
          <w:tcPr>
            <w:tcW w:w="1701" w:type="dxa"/>
          </w:tcPr>
          <w:p w14:paraId="37AA858B" w14:textId="7FA6BEA7" w:rsidR="00C7591F" w:rsidRDefault="00C7591F" w:rsidP="004F15E2">
            <w:r>
              <w:rPr>
                <w:rFonts w:hint="eastAsia"/>
              </w:rPr>
              <w:t>OFDM symbol duration (us)</w:t>
            </w:r>
          </w:p>
        </w:tc>
        <w:tc>
          <w:tcPr>
            <w:tcW w:w="1559" w:type="dxa"/>
          </w:tcPr>
          <w:p w14:paraId="23D1FA64" w14:textId="6E9686C0" w:rsidR="00C7591F" w:rsidRDefault="00C7591F" w:rsidP="004F15E2">
            <w:r>
              <w:t xml:space="preserve">CP duration (us) </w:t>
            </w:r>
          </w:p>
        </w:tc>
        <w:tc>
          <w:tcPr>
            <w:tcW w:w="1843" w:type="dxa"/>
          </w:tcPr>
          <w:p w14:paraId="497FA073" w14:textId="1FBC59CE" w:rsidR="00C7591F" w:rsidRDefault="00C7591F" w:rsidP="004F15E2">
            <w:r>
              <w:t xml:space="preserve">CP overhead </w:t>
            </w:r>
          </w:p>
        </w:tc>
      </w:tr>
      <w:tr w:rsidR="00C7591F" w14:paraId="2EEB149D" w14:textId="2E7E79EE" w:rsidTr="00C7591F">
        <w:trPr>
          <w:jc w:val="center"/>
        </w:trPr>
        <w:tc>
          <w:tcPr>
            <w:tcW w:w="1413" w:type="dxa"/>
          </w:tcPr>
          <w:p w14:paraId="3AF7BAE6" w14:textId="1631A0D2" w:rsidR="00C7591F" w:rsidRDefault="00C7591F" w:rsidP="004F15E2">
            <w:r>
              <w:rPr>
                <w:rFonts w:hint="eastAsia"/>
              </w:rPr>
              <w:t>15</w:t>
            </w:r>
          </w:p>
        </w:tc>
        <w:tc>
          <w:tcPr>
            <w:tcW w:w="1701" w:type="dxa"/>
          </w:tcPr>
          <w:p w14:paraId="4CC9D78E" w14:textId="4B85DFC3" w:rsidR="00C7591F" w:rsidRDefault="00C7591F" w:rsidP="004F15E2">
            <w:r>
              <w:rPr>
                <w:rFonts w:hint="eastAsia"/>
              </w:rPr>
              <w:t>66.</w:t>
            </w:r>
            <w:r>
              <w:t>6</w:t>
            </w:r>
            <w:r>
              <w:rPr>
                <w:rFonts w:hint="eastAsia"/>
              </w:rPr>
              <w:t>7</w:t>
            </w:r>
          </w:p>
        </w:tc>
        <w:tc>
          <w:tcPr>
            <w:tcW w:w="1559" w:type="dxa"/>
          </w:tcPr>
          <w:p w14:paraId="765F3FCB" w14:textId="58ED87C6" w:rsidR="00C7591F" w:rsidRDefault="00C7591F" w:rsidP="004F15E2">
            <w:r>
              <w:rPr>
                <w:rFonts w:hint="eastAsia"/>
              </w:rPr>
              <w:t>4.7</w:t>
            </w:r>
          </w:p>
        </w:tc>
        <w:tc>
          <w:tcPr>
            <w:tcW w:w="1843" w:type="dxa"/>
          </w:tcPr>
          <w:p w14:paraId="3F1F4D73" w14:textId="4BF8BE91" w:rsidR="00C7591F" w:rsidRDefault="00C7591F" w:rsidP="004F15E2">
            <w:r>
              <w:t>6.6%</w:t>
            </w:r>
          </w:p>
        </w:tc>
      </w:tr>
      <w:tr w:rsidR="00C7591F" w14:paraId="190D6DCC" w14:textId="5568825C" w:rsidTr="00C7591F">
        <w:trPr>
          <w:jc w:val="center"/>
        </w:trPr>
        <w:tc>
          <w:tcPr>
            <w:tcW w:w="1413" w:type="dxa"/>
          </w:tcPr>
          <w:p w14:paraId="0B828ABA" w14:textId="395CF625" w:rsidR="00C7591F" w:rsidRDefault="00C7591F" w:rsidP="004F15E2">
            <w:r>
              <w:rPr>
                <w:rFonts w:hint="eastAsia"/>
              </w:rPr>
              <w:t>30</w:t>
            </w:r>
          </w:p>
        </w:tc>
        <w:tc>
          <w:tcPr>
            <w:tcW w:w="1701" w:type="dxa"/>
          </w:tcPr>
          <w:p w14:paraId="2A10C42F" w14:textId="1D60F2D4" w:rsidR="00C7591F" w:rsidRDefault="00C7591F" w:rsidP="004F15E2">
            <w:r>
              <w:rPr>
                <w:rFonts w:hint="eastAsia"/>
              </w:rPr>
              <w:t>33.3</w:t>
            </w:r>
            <w:r>
              <w:t>3</w:t>
            </w:r>
          </w:p>
        </w:tc>
        <w:tc>
          <w:tcPr>
            <w:tcW w:w="1559" w:type="dxa"/>
          </w:tcPr>
          <w:p w14:paraId="604304E8" w14:textId="00628929" w:rsidR="00C7591F" w:rsidRDefault="00C7591F" w:rsidP="004F15E2">
            <w:r>
              <w:rPr>
                <w:rFonts w:hint="eastAsia"/>
              </w:rPr>
              <w:t>2.3</w:t>
            </w:r>
          </w:p>
        </w:tc>
        <w:tc>
          <w:tcPr>
            <w:tcW w:w="1843" w:type="dxa"/>
          </w:tcPr>
          <w:p w14:paraId="06201D37" w14:textId="5E96B7B8" w:rsidR="00C7591F" w:rsidRDefault="00C7591F" w:rsidP="004F15E2">
            <w:r>
              <w:t>6.6%</w:t>
            </w:r>
          </w:p>
        </w:tc>
      </w:tr>
      <w:tr w:rsidR="00C7591F" w14:paraId="19C81423" w14:textId="210BD654" w:rsidTr="00C7591F">
        <w:trPr>
          <w:jc w:val="center"/>
        </w:trPr>
        <w:tc>
          <w:tcPr>
            <w:tcW w:w="1413" w:type="dxa"/>
          </w:tcPr>
          <w:p w14:paraId="3339E208" w14:textId="1A9EE3F8" w:rsidR="00C7591F" w:rsidRDefault="00C7591F" w:rsidP="004F15E2">
            <w:r>
              <w:rPr>
                <w:rFonts w:hint="eastAsia"/>
              </w:rPr>
              <w:lastRenderedPageBreak/>
              <w:t>60</w:t>
            </w:r>
          </w:p>
        </w:tc>
        <w:tc>
          <w:tcPr>
            <w:tcW w:w="1701" w:type="dxa"/>
          </w:tcPr>
          <w:p w14:paraId="4EA12C37" w14:textId="293F849B" w:rsidR="00C7591F" w:rsidRDefault="00C7591F" w:rsidP="004F15E2">
            <w:r>
              <w:rPr>
                <w:rFonts w:hint="eastAsia"/>
              </w:rPr>
              <w:t>16.67</w:t>
            </w:r>
          </w:p>
        </w:tc>
        <w:tc>
          <w:tcPr>
            <w:tcW w:w="1559" w:type="dxa"/>
          </w:tcPr>
          <w:p w14:paraId="182A159F" w14:textId="537A1F5A" w:rsidR="00C7591F" w:rsidRDefault="00C7591F" w:rsidP="004F15E2">
            <w:r>
              <w:rPr>
                <w:rFonts w:hint="eastAsia"/>
              </w:rPr>
              <w:t>1.2</w:t>
            </w:r>
            <w:r>
              <w:t xml:space="preserve"> (4.2*)</w:t>
            </w:r>
          </w:p>
        </w:tc>
        <w:tc>
          <w:tcPr>
            <w:tcW w:w="1843" w:type="dxa"/>
          </w:tcPr>
          <w:p w14:paraId="218C2DDC" w14:textId="29849E3D" w:rsidR="00C7591F" w:rsidRDefault="00C7591F" w:rsidP="004F15E2">
            <w:r>
              <w:t>6.6% (20%*)</w:t>
            </w:r>
          </w:p>
        </w:tc>
      </w:tr>
      <w:tr w:rsidR="00C7591F" w14:paraId="65FF9187" w14:textId="0EB4FF1C" w:rsidTr="00C7591F">
        <w:trPr>
          <w:jc w:val="center"/>
        </w:trPr>
        <w:tc>
          <w:tcPr>
            <w:tcW w:w="1413" w:type="dxa"/>
          </w:tcPr>
          <w:p w14:paraId="2BB93392" w14:textId="0B8380AB" w:rsidR="00C7591F" w:rsidRDefault="00C7591F" w:rsidP="004F15E2">
            <w:r>
              <w:rPr>
                <w:rFonts w:hint="eastAsia"/>
              </w:rPr>
              <w:t>120</w:t>
            </w:r>
          </w:p>
        </w:tc>
        <w:tc>
          <w:tcPr>
            <w:tcW w:w="1701" w:type="dxa"/>
          </w:tcPr>
          <w:p w14:paraId="7AFC2BFF" w14:textId="78F7916E" w:rsidR="00C7591F" w:rsidRDefault="00C7591F" w:rsidP="004F15E2">
            <w:r>
              <w:rPr>
                <w:rFonts w:hint="eastAsia"/>
              </w:rPr>
              <w:t>8.33</w:t>
            </w:r>
          </w:p>
        </w:tc>
        <w:tc>
          <w:tcPr>
            <w:tcW w:w="1559" w:type="dxa"/>
          </w:tcPr>
          <w:p w14:paraId="3730CC2D" w14:textId="0FFF5BD9" w:rsidR="00C7591F" w:rsidRDefault="00C7591F" w:rsidP="004F15E2">
            <w:r>
              <w:rPr>
                <w:rFonts w:hint="eastAsia"/>
              </w:rPr>
              <w:t>0.6</w:t>
            </w:r>
          </w:p>
        </w:tc>
        <w:tc>
          <w:tcPr>
            <w:tcW w:w="1843" w:type="dxa"/>
          </w:tcPr>
          <w:p w14:paraId="66159B9C" w14:textId="4A431CFE" w:rsidR="00C7591F" w:rsidRDefault="00C7591F" w:rsidP="004F15E2">
            <w:r>
              <w:t>6.6%</w:t>
            </w:r>
          </w:p>
        </w:tc>
      </w:tr>
    </w:tbl>
    <w:p w14:paraId="03B6929C" w14:textId="15714BEE" w:rsidR="004F15E2" w:rsidRDefault="00071690" w:rsidP="004F15E2">
      <w:r>
        <w:tab/>
      </w:r>
      <w:r>
        <w:tab/>
      </w:r>
      <w:r>
        <w:tab/>
      </w:r>
      <w:r w:rsidR="006A4F22">
        <w:t xml:space="preserve">                 </w:t>
      </w:r>
      <w:r>
        <w:t xml:space="preserve">Note: * For the extended CP. </w:t>
      </w:r>
    </w:p>
    <w:p w14:paraId="4CDC4421" w14:textId="241799B6" w:rsidR="00A5491C" w:rsidRDefault="00A5491C" w:rsidP="004F15E2"/>
    <w:p w14:paraId="3277B18D" w14:textId="615125C5" w:rsidR="00DA5BF6" w:rsidRDefault="0013747F" w:rsidP="004F15E2">
      <w:pPr>
        <w:rPr>
          <w:b/>
        </w:rPr>
      </w:pPr>
      <w:r>
        <w:rPr>
          <w:b/>
        </w:rPr>
        <w:t>Proposal</w:t>
      </w:r>
      <w:r w:rsidR="00B261B0">
        <w:rPr>
          <w:b/>
        </w:rPr>
        <w:t xml:space="preserve"> 3</w:t>
      </w:r>
      <w:r w:rsidR="00DA5BF6" w:rsidRPr="00614890">
        <w:rPr>
          <w:b/>
        </w:rPr>
        <w:t>:</w:t>
      </w:r>
      <w:r>
        <w:rPr>
          <w:b/>
        </w:rPr>
        <w:t xml:space="preserve"> </w:t>
      </w:r>
      <w:r w:rsidR="00A7063C" w:rsidRPr="00A7063C">
        <w:rPr>
          <w:b/>
        </w:rPr>
        <w:t xml:space="preserve">NR sidelink supports the </w:t>
      </w:r>
      <w:r w:rsidR="00A7063C">
        <w:rPr>
          <w:b/>
        </w:rPr>
        <w:t xml:space="preserve">CP lengths </w:t>
      </w:r>
      <w:r w:rsidR="00A7063C" w:rsidRPr="00A7063C">
        <w:rPr>
          <w:b/>
        </w:rPr>
        <w:t xml:space="preserve">supported by </w:t>
      </w:r>
      <w:r w:rsidR="00A7063C">
        <w:rPr>
          <w:b/>
        </w:rPr>
        <w:t xml:space="preserve">Rel-15 NR </w:t>
      </w:r>
      <w:r w:rsidR="00A7063C" w:rsidRPr="00A7063C">
        <w:rPr>
          <w:b/>
        </w:rPr>
        <w:t>Uu.</w:t>
      </w:r>
    </w:p>
    <w:p w14:paraId="089A8A51" w14:textId="77777777" w:rsidR="004146B3" w:rsidRDefault="004146B3" w:rsidP="00FC58B1"/>
    <w:p w14:paraId="1CCF9DDE" w14:textId="3C87E0C4" w:rsidR="006972D6" w:rsidRPr="00AB0955" w:rsidRDefault="00336607" w:rsidP="00336607">
      <w:pPr>
        <w:pStyle w:val="Heading2"/>
      </w:pPr>
      <w:r>
        <w:t xml:space="preserve">2.3 </w:t>
      </w:r>
      <w:r w:rsidR="00A41DFC" w:rsidRPr="00AB0955">
        <w:rPr>
          <w:rFonts w:hint="eastAsia"/>
        </w:rPr>
        <w:t>R</w:t>
      </w:r>
      <w:r w:rsidR="006B56C9" w:rsidRPr="00AB0955">
        <w:t xml:space="preserve">eference </w:t>
      </w:r>
      <w:r>
        <w:rPr>
          <w:rFonts w:hint="eastAsia"/>
        </w:rPr>
        <w:t>s</w:t>
      </w:r>
      <w:r w:rsidR="006B56C9" w:rsidRPr="00AB0955">
        <w:t>ignal</w:t>
      </w:r>
      <w:r w:rsidR="00A41DFC" w:rsidRPr="00AB0955">
        <w:rPr>
          <w:rFonts w:hint="eastAsia"/>
        </w:rPr>
        <w:t xml:space="preserve"> for sidelink</w:t>
      </w:r>
    </w:p>
    <w:p w14:paraId="0CEBE553" w14:textId="60D505F2" w:rsidR="00A12F21" w:rsidRDefault="0039680B" w:rsidP="00336607">
      <w:pPr>
        <w:spacing w:beforeLines="50" w:before="120" w:afterLines="50" w:after="120"/>
      </w:pPr>
      <w:r>
        <w:t xml:space="preserve">The reference signal for physical sidelink channels include DM-RS and other </w:t>
      </w:r>
      <w:r w:rsidR="00800A0F">
        <w:t xml:space="preserve">potential </w:t>
      </w:r>
      <w:r>
        <w:t xml:space="preserve">reference signals e.g. PT-RS and CSI-RS/SRS. </w:t>
      </w:r>
      <w:r w:rsidR="00800A0F">
        <w:t xml:space="preserve">The DM-RS can be used to make time/frequency synchronization refinement and channel estimation for coherent data detection. In RAN1-94 meeting, it was agreed that DM-RS defined in Rel-15 NR Uu is the starting point for NR sidelink DM-RS design. In Rel-15 NR Uu, </w:t>
      </w:r>
      <w:r w:rsidR="00800A0F" w:rsidRPr="00800A0F">
        <w:t>there are two types of DM</w:t>
      </w:r>
      <w:r w:rsidR="00800A0F">
        <w:t>-</w:t>
      </w:r>
      <w:r w:rsidR="00800A0F" w:rsidRPr="00800A0F">
        <w:t>RS configurations defined for NR PUSCH</w:t>
      </w:r>
      <w:r w:rsidR="00800A0F">
        <w:t xml:space="preserve"> and PDSCH</w:t>
      </w:r>
      <w:r w:rsidR="001873A0">
        <w:t>, i.e. type-1 and type-2 DM-RS configurations</w:t>
      </w:r>
      <w:r w:rsidR="00800A0F" w:rsidRPr="00800A0F">
        <w:t>. These two types of DM</w:t>
      </w:r>
      <w:r w:rsidR="001873A0">
        <w:t>-</w:t>
      </w:r>
      <w:r w:rsidR="00800A0F" w:rsidRPr="00800A0F">
        <w:t>RS begin with front-loaded one (or two) DM</w:t>
      </w:r>
      <w:r w:rsidR="001873A0">
        <w:t>-</w:t>
      </w:r>
      <w:r w:rsidR="00800A0F" w:rsidRPr="00800A0F">
        <w:t xml:space="preserve">RS symbols </w:t>
      </w:r>
      <w:r w:rsidR="001873A0">
        <w:t>optionally followed by at most</w:t>
      </w:r>
      <w:r w:rsidR="00800A0F" w:rsidRPr="00800A0F">
        <w:t xml:space="preserve"> three additional DMRS symbols (pairs) as per configurations. </w:t>
      </w:r>
      <w:r w:rsidR="001873A0">
        <w:t xml:space="preserve">Figure </w:t>
      </w:r>
      <w:r w:rsidR="00A7063C">
        <w:t>1</w:t>
      </w:r>
      <w:r w:rsidR="001873A0">
        <w:t xml:space="preserve"> shows an example of the two DM-RS configuration types in type A PDSCH/PUSCH mapping. </w:t>
      </w:r>
    </w:p>
    <w:p w14:paraId="6C004539" w14:textId="3CF11639" w:rsidR="001873A0" w:rsidRDefault="007219C6" w:rsidP="007219C6">
      <w:pPr>
        <w:jc w:val="center"/>
      </w:pPr>
      <w:r>
        <w:object w:dxaOrig="3971" w:dyaOrig="2561" w14:anchorId="75369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27.5pt" o:ole="">
            <v:imagedata r:id="rId8" o:title=""/>
          </v:shape>
          <o:OLEObject Type="Embed" ProgID="Visio.Drawing.11" ShapeID="_x0000_i1025" DrawAspect="Content" ObjectID="_1602722106" r:id="rId9"/>
        </w:object>
      </w:r>
      <w:r>
        <w:t xml:space="preserve">                    </w:t>
      </w:r>
      <w:r>
        <w:object w:dxaOrig="3589" w:dyaOrig="2561" w14:anchorId="15D8D4C2">
          <v:shape id="_x0000_i1026" type="#_x0000_t75" style="width:180pt;height:127.5pt" o:ole="">
            <v:imagedata r:id="rId10" o:title=""/>
          </v:shape>
          <o:OLEObject Type="Embed" ProgID="Visio.Drawing.11" ShapeID="_x0000_i1026" DrawAspect="Content" ObjectID="_1602722107" r:id="rId11"/>
        </w:object>
      </w:r>
    </w:p>
    <w:p w14:paraId="07EE5596" w14:textId="51552644" w:rsidR="007219C6" w:rsidRPr="009F08CE" w:rsidRDefault="007219C6" w:rsidP="007219C6">
      <w:pPr>
        <w:jc w:val="center"/>
        <w:rPr>
          <w:b/>
        </w:rPr>
      </w:pPr>
      <w:r w:rsidRPr="009F08CE">
        <w:rPr>
          <w:b/>
        </w:rPr>
        <w:t xml:space="preserve">Figure </w:t>
      </w:r>
      <w:r w:rsidR="00A7063C">
        <w:rPr>
          <w:b/>
        </w:rPr>
        <w:t>1</w:t>
      </w:r>
      <w:r w:rsidRPr="009F08CE">
        <w:rPr>
          <w:b/>
        </w:rPr>
        <w:t>: Example of type-1(left) and type-2(right) DM-RS configurations (assumed front-loaded with three additional DM-RS symbols configured)</w:t>
      </w:r>
    </w:p>
    <w:p w14:paraId="43C694EC" w14:textId="6C27AA0C" w:rsidR="00336607" w:rsidRPr="00336607" w:rsidRDefault="001918FE" w:rsidP="00336607">
      <w:pPr>
        <w:spacing w:beforeLines="50" w:before="120" w:afterLines="50" w:after="120"/>
      </w:pPr>
      <w:r>
        <w:t xml:space="preserve">In comparison with type-1 DM-RS, type-2 DM-RS configurations can support more antenna ports at the cost of fewer DM-RS REs per port per PRB. The larger density of type-1 DM-RS is beneficial </w:t>
      </w:r>
      <w:r w:rsidR="00F422E8">
        <w:t>for improving channel estimation accuracy and sidelink reliability</w:t>
      </w:r>
      <w:r w:rsidR="0086172C">
        <w:t>, thus type-1 DM-RS structure may be</w:t>
      </w:r>
      <w:r w:rsidR="00F422E8">
        <w:t xml:space="preserve"> preferred. Additionally, in some specific usage scenarios e.g. unicast or groupcast for the vehicles moving in the same direction or lane (e.g. platooning use case), the effective </w:t>
      </w:r>
      <w:r w:rsidR="004E5774">
        <w:t xml:space="preserve">mobility of the sidelink is quite small, thus two DM-RS symbols may be enough to achieve reliable sidelink performance. Motivated by this, DM-RS with dynamic configuration of two or four symbols could be considered. </w:t>
      </w:r>
    </w:p>
    <w:p w14:paraId="766EB4E4" w14:textId="0122E624" w:rsidR="00336607" w:rsidRPr="00336607" w:rsidRDefault="004E5774" w:rsidP="00FC58B1">
      <w:pPr>
        <w:rPr>
          <w:b/>
        </w:rPr>
      </w:pPr>
      <w:r>
        <w:rPr>
          <w:b/>
        </w:rPr>
        <w:t>Proposal</w:t>
      </w:r>
      <w:r w:rsidR="00B261B0">
        <w:rPr>
          <w:b/>
        </w:rPr>
        <w:t xml:space="preserve"> 4</w:t>
      </w:r>
      <w:r w:rsidRPr="004116D4">
        <w:rPr>
          <w:b/>
        </w:rPr>
        <w:t>:</w:t>
      </w:r>
      <w:r>
        <w:rPr>
          <w:b/>
        </w:rPr>
        <w:t xml:space="preserve"> Rel-15 NR Uu type-1 DM-RS configuration could be used for physical sidelink channels. The number of DM-RS symbols per slot may be dynamically configured. </w:t>
      </w:r>
    </w:p>
    <w:p w14:paraId="2174E79C" w14:textId="6B154EF6" w:rsidR="005107CC" w:rsidRDefault="0086172C" w:rsidP="00336607">
      <w:pPr>
        <w:spacing w:beforeLines="50" w:before="120" w:afterLines="50" w:after="120"/>
      </w:pPr>
      <w:r>
        <w:t xml:space="preserve">In NR V2X sidelink transmissions, more diverse traffic types will be supported, including e.g. aperiodic traffic, periodic traffic with fixed or varied packet sizes, which may lead to more serious collision situations. Thus, the NR V2X sidelink design </w:t>
      </w:r>
      <w:r w:rsidR="009C2223">
        <w:t xml:space="preserve">shall be resilient </w:t>
      </w:r>
      <w:r w:rsidR="001769C2">
        <w:t>to</w:t>
      </w:r>
      <w:r w:rsidR="009C2223">
        <w:t xml:space="preserve"> the potential collision interference. From DM-RS point of view, some </w:t>
      </w:r>
      <w:r w:rsidR="009C2223">
        <w:lastRenderedPageBreak/>
        <w:t xml:space="preserve">form of orthogonalization between the DM-RS signals of the colliding UEs could benefit the mitigation of the collision interference. In general, the </w:t>
      </w:r>
      <w:r w:rsidR="009C2223" w:rsidRPr="009C2223">
        <w:t>orthogonalization</w:t>
      </w:r>
      <w:r w:rsidR="009C2223">
        <w:t xml:space="preserve"> of the colliding DM-RS signals could be implemented through </w:t>
      </w:r>
      <w:r w:rsidR="004F0D57">
        <w:t xml:space="preserve">orthogonal multiplexing </w:t>
      </w:r>
      <w:r w:rsidR="004F0D57" w:rsidRPr="004F0D57">
        <w:t xml:space="preserve">of the DM-RS signals/resources </w:t>
      </w:r>
      <w:r w:rsidR="004F0D57">
        <w:t>in</w:t>
      </w:r>
      <w:r w:rsidR="009C2223">
        <w:t xml:space="preserve"> CDM, FDM, or TDM</w:t>
      </w:r>
      <w:r w:rsidR="004F0D57">
        <w:t>. For CDM multiplexing, it is generally required that the colliding DM-RS signals use the same base sequences but with different cyclic shifts and/or orthogonal cover codes. For TDM or FDM, different DM-RS REs are used for the DM-RS signals of th</w:t>
      </w:r>
      <w:r w:rsidR="00DC38AF">
        <w:t xml:space="preserve">e colliding UEs. For example, with the type-1 DM-RS configuration, if the two colliding UEs use DM-RS for antenna port 0/1 and DM-RS for antenna port 2/3 respectively, the DM-RS signals could avoid the colliding interference thus may greatly improve channel estimation performance which could further mitigate the collision interference on data signals (e.g. through MMSE-IRC detectors). </w:t>
      </w:r>
      <w:r w:rsidR="00A829C8">
        <w:t xml:space="preserve">Within context of type-1 DM-RS configuration, the FDM multiplexing (i.e. through comb offset of 0 or 1) of the DM-RS signals seems more straightforward than other multiplexing ways of CDM and FDM. The orthogonalization with different comb offsets could be configured by network (in </w:t>
      </w:r>
      <w:r w:rsidR="00F822B9">
        <w:t>mode 1) or selected by UEs adaptively based on channel sensing</w:t>
      </w:r>
      <w:r w:rsidR="001769C2">
        <w:t xml:space="preserve"> </w:t>
      </w:r>
      <w:r w:rsidR="009C749D">
        <w:t>(in mode 2)</w:t>
      </w:r>
      <w:r w:rsidR="001769C2">
        <w:t>. The configured/selected DM-RS comb offset could be dynamically indicated in physical control channels</w:t>
      </w:r>
      <w:r w:rsidR="00F822B9">
        <w:t xml:space="preserve">. </w:t>
      </w:r>
    </w:p>
    <w:p w14:paraId="21C9383F" w14:textId="768A9FF8" w:rsidR="00A7063C" w:rsidRDefault="00A829C8" w:rsidP="00336607">
      <w:pPr>
        <w:spacing w:beforeLines="50" w:before="120" w:afterLines="50" w:after="120"/>
      </w:pPr>
      <w:r>
        <w:t xml:space="preserve">Figure </w:t>
      </w:r>
      <w:r w:rsidR="00A7063C">
        <w:t>2</w:t>
      </w:r>
      <w:r>
        <w:t xml:space="preserve"> shows some link </w:t>
      </w:r>
      <w:r w:rsidR="003B0DC5">
        <w:t xml:space="preserve">level </w:t>
      </w:r>
      <w:r>
        <w:t xml:space="preserve">simulation results for the interference-limited scenario. </w:t>
      </w:r>
      <w:r w:rsidR="003B0DC5">
        <w:t>In the simulations, the useful signal collides with one interference signal. Both useful and interference signals have one data layer and use the type-1 DM-RS configuration with same or different comb offsets. The useful signal and interference signal use different base DM-RS sequences. From the simulation results, we can get the following observations.</w:t>
      </w:r>
    </w:p>
    <w:p w14:paraId="4ED3F42B" w14:textId="32E391F3" w:rsidR="003B0DC5" w:rsidRPr="00071B6F" w:rsidRDefault="003B0DC5" w:rsidP="009C2223">
      <w:pPr>
        <w:rPr>
          <w:b/>
        </w:rPr>
      </w:pPr>
      <w:r w:rsidRPr="00071B6F">
        <w:rPr>
          <w:b/>
        </w:rPr>
        <w:t>Observation</w:t>
      </w:r>
      <w:r w:rsidR="00B261B0">
        <w:rPr>
          <w:b/>
        </w:rPr>
        <w:t xml:space="preserve"> 1</w:t>
      </w:r>
      <w:r w:rsidRPr="00071B6F">
        <w:rPr>
          <w:b/>
        </w:rPr>
        <w:t xml:space="preserve">: </w:t>
      </w:r>
      <w:r w:rsidR="00071B6F">
        <w:rPr>
          <w:b/>
        </w:rPr>
        <w:t>I</w:t>
      </w:r>
      <w:r w:rsidR="00071B6F" w:rsidRPr="00071B6F">
        <w:rPr>
          <w:b/>
        </w:rPr>
        <w:t>n case of interference-limited scenarios</w:t>
      </w:r>
      <w:r w:rsidR="00071B6F">
        <w:rPr>
          <w:b/>
        </w:rPr>
        <w:t>,</w:t>
      </w:r>
      <w:r w:rsidR="00071B6F" w:rsidRPr="00071B6F">
        <w:rPr>
          <w:b/>
        </w:rPr>
        <w:t xml:space="preserve"> DM-RS orthogonalization (e.g. through different DM-RS comb offsets) can greatly improve the interference suppression capability especially for advanced receivers (e.g. MMSE-IRC). </w:t>
      </w:r>
    </w:p>
    <w:p w14:paraId="2531470F" w14:textId="4543E2DB" w:rsidR="005107CC" w:rsidRDefault="00E503E6" w:rsidP="00E503E6">
      <w:pPr>
        <w:jc w:val="center"/>
      </w:pPr>
      <w:r w:rsidRPr="00E503E6">
        <w:rPr>
          <w:noProof/>
        </w:rPr>
        <w:drawing>
          <wp:inline distT="0" distB="0" distL="0" distR="0" wp14:anchorId="1EA48940" wp14:editId="2B203069">
            <wp:extent cx="3575714" cy="268285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4917" cy="2704763"/>
                    </a:xfrm>
                    <a:prstGeom prst="rect">
                      <a:avLst/>
                    </a:prstGeom>
                    <a:noFill/>
                    <a:ln>
                      <a:noFill/>
                    </a:ln>
                  </pic:spPr>
                </pic:pic>
              </a:graphicData>
            </a:graphic>
          </wp:inline>
        </w:drawing>
      </w:r>
    </w:p>
    <w:p w14:paraId="5862CA6B" w14:textId="70343C75" w:rsidR="00071B6F" w:rsidRPr="009F08CE" w:rsidRDefault="00071B6F" w:rsidP="00071B6F">
      <w:pPr>
        <w:pStyle w:val="ListParagraph"/>
        <w:numPr>
          <w:ilvl w:val="0"/>
          <w:numId w:val="22"/>
        </w:numPr>
        <w:jc w:val="center"/>
        <w:rPr>
          <w:rFonts w:eastAsiaTheme="minorEastAsia"/>
          <w:sz w:val="20"/>
          <w:szCs w:val="20"/>
          <w:lang w:val="en-US"/>
        </w:rPr>
      </w:pPr>
      <w:r w:rsidRPr="009F08CE">
        <w:rPr>
          <w:rFonts w:eastAsiaTheme="minorEastAsia" w:hint="eastAsia"/>
          <w:sz w:val="20"/>
          <w:szCs w:val="20"/>
          <w:lang w:val="en-US"/>
        </w:rPr>
        <w:t>QPSK, 1/2-LDPC</w:t>
      </w:r>
    </w:p>
    <w:p w14:paraId="1F8D55C5" w14:textId="4B988EBC" w:rsidR="00E503E6" w:rsidRDefault="00E503E6" w:rsidP="00E503E6">
      <w:pPr>
        <w:jc w:val="center"/>
      </w:pPr>
      <w:r w:rsidRPr="00E503E6">
        <w:rPr>
          <w:rFonts w:hint="eastAsia"/>
          <w:noProof/>
        </w:rPr>
        <w:lastRenderedPageBreak/>
        <w:drawing>
          <wp:inline distT="0" distB="0" distL="0" distR="0" wp14:anchorId="7239D105" wp14:editId="689D5DD1">
            <wp:extent cx="3589361" cy="26930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2618" cy="2710540"/>
                    </a:xfrm>
                    <a:prstGeom prst="rect">
                      <a:avLst/>
                    </a:prstGeom>
                    <a:noFill/>
                    <a:ln>
                      <a:noFill/>
                    </a:ln>
                  </pic:spPr>
                </pic:pic>
              </a:graphicData>
            </a:graphic>
          </wp:inline>
        </w:drawing>
      </w:r>
    </w:p>
    <w:p w14:paraId="36A89B8A" w14:textId="2E2B4C7E" w:rsidR="00071B6F" w:rsidRPr="009F08CE" w:rsidRDefault="00071B6F" w:rsidP="00071B6F">
      <w:pPr>
        <w:pStyle w:val="ListParagraph"/>
        <w:numPr>
          <w:ilvl w:val="0"/>
          <w:numId w:val="22"/>
        </w:numPr>
        <w:jc w:val="center"/>
        <w:rPr>
          <w:rFonts w:eastAsiaTheme="minorEastAsia"/>
          <w:sz w:val="20"/>
          <w:szCs w:val="20"/>
          <w:lang w:val="en-US"/>
        </w:rPr>
      </w:pPr>
      <w:r w:rsidRPr="009F08CE">
        <w:rPr>
          <w:rFonts w:eastAsiaTheme="minorEastAsia" w:hint="eastAsia"/>
          <w:sz w:val="20"/>
          <w:szCs w:val="20"/>
          <w:lang w:val="en-US"/>
        </w:rPr>
        <w:t>16QAM, 1/2-LDPC</w:t>
      </w:r>
    </w:p>
    <w:p w14:paraId="46C0B0E6" w14:textId="77777777" w:rsidR="00071B6F" w:rsidRDefault="00071B6F" w:rsidP="00071B6F">
      <w:pPr>
        <w:pStyle w:val="ListParagraph"/>
        <w:ind w:left="360"/>
        <w:jc w:val="center"/>
        <w:rPr>
          <w:rFonts w:eastAsiaTheme="minorEastAsia"/>
          <w:lang w:val="en-US"/>
        </w:rPr>
      </w:pPr>
    </w:p>
    <w:p w14:paraId="4E224E05" w14:textId="7204913C" w:rsidR="00071B6F" w:rsidRPr="00E30E39" w:rsidRDefault="00071B6F" w:rsidP="00071B6F">
      <w:pPr>
        <w:pStyle w:val="ListParagraph"/>
        <w:ind w:left="360"/>
        <w:jc w:val="center"/>
        <w:rPr>
          <w:rFonts w:ascii="Times New Roman" w:eastAsia="Times New Roman" w:hAnsi="Times New Roman"/>
          <w:b/>
          <w:sz w:val="20"/>
          <w:szCs w:val="20"/>
          <w:lang w:val="en-GB"/>
        </w:rPr>
      </w:pPr>
      <w:r w:rsidRPr="00533A1C">
        <w:rPr>
          <w:rFonts w:asciiTheme="minorHAnsi" w:eastAsiaTheme="minorEastAsia" w:hAnsiTheme="minorHAnsi"/>
          <w:b/>
          <w:lang w:val="en-US"/>
        </w:rPr>
        <w:t xml:space="preserve">Figure </w:t>
      </w:r>
      <w:r w:rsidR="00A7063C" w:rsidRPr="00533A1C">
        <w:rPr>
          <w:rFonts w:asciiTheme="minorHAnsi" w:eastAsiaTheme="minorEastAsia" w:hAnsiTheme="minorHAnsi"/>
          <w:b/>
          <w:lang w:val="en-US"/>
        </w:rPr>
        <w:t>2</w:t>
      </w:r>
      <w:r w:rsidRPr="00533A1C">
        <w:rPr>
          <w:rFonts w:asciiTheme="minorHAnsi" w:eastAsiaTheme="minorEastAsia" w:hAnsiTheme="minorHAnsi"/>
          <w:b/>
          <w:lang w:val="en-US"/>
        </w:rPr>
        <w:t>: Evaluation results in interference-limited scenarios with different DM-RS usage</w:t>
      </w:r>
    </w:p>
    <w:p w14:paraId="6217F784" w14:textId="77777777" w:rsidR="005107CC" w:rsidRPr="009C2223" w:rsidRDefault="005107CC" w:rsidP="009C2223"/>
    <w:p w14:paraId="63E80D69" w14:textId="5F62EAD2" w:rsidR="00E15002" w:rsidRPr="004116D4" w:rsidRDefault="006B56C9" w:rsidP="00FC58B1">
      <w:pPr>
        <w:rPr>
          <w:b/>
        </w:rPr>
      </w:pPr>
      <w:r>
        <w:rPr>
          <w:b/>
        </w:rPr>
        <w:t>Proposal</w:t>
      </w:r>
      <w:r w:rsidR="00B261B0">
        <w:rPr>
          <w:b/>
        </w:rPr>
        <w:t xml:space="preserve"> 5</w:t>
      </w:r>
      <w:r w:rsidR="00AA6C38" w:rsidRPr="004116D4">
        <w:rPr>
          <w:b/>
        </w:rPr>
        <w:t>:</w:t>
      </w:r>
      <w:r w:rsidR="004C14DF" w:rsidRPr="004116D4">
        <w:rPr>
          <w:b/>
        </w:rPr>
        <w:t xml:space="preserve"> </w:t>
      </w:r>
      <w:r w:rsidR="005107CC">
        <w:rPr>
          <w:b/>
        </w:rPr>
        <w:t xml:space="preserve">Discuss the support for orthogonal DM-RS signals for potential colliding UEs. </w:t>
      </w:r>
    </w:p>
    <w:p w14:paraId="7C3B1256" w14:textId="783F3F72" w:rsidR="00850E4A" w:rsidRDefault="00850E4A" w:rsidP="00FC58B1"/>
    <w:p w14:paraId="0B5CE83A" w14:textId="344BF3C8" w:rsidR="006B56C9" w:rsidRPr="00AB0955" w:rsidRDefault="00336607" w:rsidP="00336607">
      <w:pPr>
        <w:pStyle w:val="Heading2"/>
      </w:pPr>
      <w:bookmarkStart w:id="2" w:name="OLE_LINK1"/>
      <w:bookmarkStart w:id="3" w:name="OLE_LINK2"/>
      <w:r>
        <w:t xml:space="preserve">2.4 </w:t>
      </w:r>
      <w:r w:rsidR="006B56C9" w:rsidRPr="00AB0955">
        <w:t>Bandwidth parts and resource pool</w:t>
      </w:r>
      <w:bookmarkEnd w:id="2"/>
      <w:bookmarkEnd w:id="3"/>
    </w:p>
    <w:p w14:paraId="5A36DF82" w14:textId="177F5A26" w:rsidR="004E1653" w:rsidRPr="00222C39" w:rsidRDefault="001D1D8D" w:rsidP="006E1546">
      <w:pPr>
        <w:spacing w:beforeLines="50" w:before="120" w:afterLines="50" w:after="120"/>
      </w:pPr>
      <w:r>
        <w:t>In NR Rel-15, motivated by the need to support UEs with bandwidth capability smaller than the network carrier bandwidth and also to support efficient power saving of the UEs, the concept of bandwidth part (BWP) was introduced. The BWP is comprised of a set of continuous PRBs with specific SCS configuration. In NR Rel-15, up to four BWPs could be configured for the UE, but only one BWP can be active at any time</w:t>
      </w:r>
      <w:r w:rsidR="009A50CB">
        <w:t xml:space="preserve"> as per the configuration of the gNB</w:t>
      </w:r>
      <w:r>
        <w:t xml:space="preserve">. </w:t>
      </w:r>
      <w:r w:rsidR="009334E9">
        <w:t>The BWP resembles the component carrier and the NR V2X s</w:t>
      </w:r>
      <w:r w:rsidR="009A50CB">
        <w:t>idelink transmission</w:t>
      </w:r>
      <w:r w:rsidR="009334E9">
        <w:t xml:space="preserve"> can occur in one of the potential multiple BWPs. </w:t>
      </w:r>
      <w:r w:rsidR="007E50C7">
        <w:t xml:space="preserve">A potential different aspect of BWP usage for NR V2X is that the vehicle UE may autonomously activate one BWP for its sidelink transmission as per e.g. load conditions of different BWPs or traffic performance requirements. </w:t>
      </w:r>
    </w:p>
    <w:p w14:paraId="0F229814" w14:textId="58B40007" w:rsidR="00222C39" w:rsidRPr="006E1546" w:rsidRDefault="004E1653" w:rsidP="006E1546">
      <w:pPr>
        <w:spacing w:beforeLines="50" w:before="120" w:afterLines="50" w:after="120"/>
      </w:pPr>
      <w:r>
        <w:t xml:space="preserve">In previous meeting, it was agreed that resource pool is supported for NR sidelink and </w:t>
      </w:r>
      <w:r>
        <w:rPr>
          <w:rFonts w:hint="eastAsia"/>
          <w:szCs w:val="20"/>
          <w:lang w:eastAsia="ko-KR"/>
        </w:rPr>
        <w:t>r</w:t>
      </w:r>
      <w:r w:rsidRPr="004E1653">
        <w:rPr>
          <w:rFonts w:hint="eastAsia"/>
          <w:szCs w:val="20"/>
          <w:lang w:eastAsia="ko-KR"/>
        </w:rPr>
        <w:t>esource pool is a set of time</w:t>
      </w:r>
      <w:r w:rsidRPr="004E1653">
        <w:rPr>
          <w:szCs w:val="20"/>
          <w:lang w:eastAsia="ko-KR"/>
        </w:rPr>
        <w:t xml:space="preserve"> and frequency</w:t>
      </w:r>
      <w:r w:rsidRPr="004E1653">
        <w:rPr>
          <w:rFonts w:hint="eastAsia"/>
          <w:szCs w:val="20"/>
          <w:lang w:eastAsia="ko-KR"/>
        </w:rPr>
        <w:t xml:space="preserve"> resources that can be used for sidelink transmission and/or reception</w:t>
      </w:r>
      <w:r>
        <w:t xml:space="preserve">. One or multiple resource pools can be configured in one BWP (if supported) with the system information or dedicated signaling and the multiple resource pool </w:t>
      </w:r>
      <w:r w:rsidR="00222C39">
        <w:t xml:space="preserve">configuration </w:t>
      </w:r>
      <w:r>
        <w:t>can enable</w:t>
      </w:r>
      <w:r w:rsidR="009A50CB">
        <w:t xml:space="preserve"> some enhanced features, e.g. the vehicle UE selects the specific resou</w:t>
      </w:r>
      <w:r w:rsidR="00E431DF">
        <w:t>rce pool that corresponds to the</w:t>
      </w:r>
      <w:r w:rsidR="009A50CB">
        <w:t xml:space="preserve"> zone </w:t>
      </w:r>
      <w:r w:rsidR="00E431DF">
        <w:t xml:space="preserve">that the UE is located </w:t>
      </w:r>
      <w:r w:rsidR="009A50CB">
        <w:t xml:space="preserve">such that </w:t>
      </w:r>
      <w:r w:rsidR="00E431DF">
        <w:t xml:space="preserve">the </w:t>
      </w:r>
      <w:r w:rsidR="009A50CB">
        <w:t>proximate UEs use the same resource pool to reduce the impact of in-band emission interference on the system performance</w:t>
      </w:r>
      <w:r>
        <w:t>, as supported in LTE V2X</w:t>
      </w:r>
      <w:r w:rsidR="009A50CB">
        <w:t xml:space="preserve">. </w:t>
      </w:r>
    </w:p>
    <w:p w14:paraId="5EF251C7" w14:textId="6BEE4987" w:rsidR="004E1653" w:rsidRPr="006E1546" w:rsidRDefault="002B2B74" w:rsidP="006E1546">
      <w:pPr>
        <w:spacing w:beforeLines="50" w:before="120" w:afterLines="50" w:after="120"/>
      </w:pPr>
      <w:r w:rsidRPr="002B2B74">
        <w:t xml:space="preserve">Regarding </w:t>
      </w:r>
      <w:r w:rsidRPr="002B2B74">
        <w:rPr>
          <w:rFonts w:hint="eastAsia"/>
        </w:rPr>
        <w:t>whether a resource pool consists of contiguous res</w:t>
      </w:r>
      <w:r>
        <w:rPr>
          <w:rFonts w:hint="eastAsia"/>
        </w:rPr>
        <w:t xml:space="preserve">ources in time and/or frequency, the resource pool configuration approach </w:t>
      </w:r>
      <w:r>
        <w:t xml:space="preserve">used in </w:t>
      </w:r>
      <w:r>
        <w:rPr>
          <w:rFonts w:hint="eastAsia"/>
        </w:rPr>
        <w:t>the LTE V2X</w:t>
      </w:r>
      <w:r>
        <w:t xml:space="preserve"> sidelink</w:t>
      </w:r>
      <w:r>
        <w:rPr>
          <w:rFonts w:hint="eastAsia"/>
        </w:rPr>
        <w:t xml:space="preserve"> can be reused for NR sidelink. </w:t>
      </w:r>
      <w:r>
        <w:t>In particular,</w:t>
      </w:r>
      <w:r w:rsidR="00224D08">
        <w:t xml:space="preserve"> i</w:t>
      </w:r>
      <w:r w:rsidR="007F75C2">
        <w:t xml:space="preserve">n frequency domain, the non-contiguous configuration can acquire some frequency diversity but on the other </w:t>
      </w:r>
      <w:r w:rsidR="007F75C2">
        <w:lastRenderedPageBreak/>
        <w:t xml:space="preserve">hand it </w:t>
      </w:r>
      <w:r w:rsidR="004447A8">
        <w:t xml:space="preserve">may increase spectrum segmentation and </w:t>
      </w:r>
      <w:r w:rsidR="007F75C2">
        <w:t>may suffer some perform</w:t>
      </w:r>
      <w:r w:rsidR="00224D08">
        <w:t xml:space="preserve">ance loss to some extent due to the potential degraded in-band emission interference and channel estimation loss. From this perspective, the contiguous resource configuration in frequency is preferred. In time domain the bitmap based configuration can be used to support non-contiguous time resource configuration in the resource pool to enable multiple resource pool configurations that are interleaved in time. The potential difference from the LTE V2X resource pool configuration is that slot aggregation may be supported in the resource pool configuration and in this case, it is beneficial to make the aggregated slots contiguous in time. </w:t>
      </w:r>
    </w:p>
    <w:p w14:paraId="3F2BC6C9" w14:textId="70D773EF" w:rsidR="00224D08" w:rsidRDefault="00283C34" w:rsidP="006E1546">
      <w:pPr>
        <w:spacing w:beforeLines="50" w:before="120" w:afterLines="50" w:after="120"/>
        <w:rPr>
          <w:b/>
          <w:bCs/>
        </w:rPr>
      </w:pPr>
      <w:bookmarkStart w:id="4" w:name="P_Filter"/>
      <w:bookmarkStart w:id="5" w:name="OLE_LINK3"/>
      <w:bookmarkStart w:id="6" w:name="OLE_LINK4"/>
      <w:r w:rsidRPr="00283C34">
        <w:rPr>
          <w:b/>
          <w:bCs/>
        </w:rPr>
        <w:t>Proposal</w:t>
      </w:r>
      <w:bookmarkEnd w:id="4"/>
      <w:r w:rsidR="00B261B0">
        <w:rPr>
          <w:b/>
          <w:bCs/>
        </w:rPr>
        <w:t xml:space="preserve"> 6</w:t>
      </w:r>
      <w:r w:rsidR="006B56C9">
        <w:rPr>
          <w:b/>
          <w:bCs/>
        </w:rPr>
        <w:t>:</w:t>
      </w:r>
      <w:r w:rsidR="007E50C7">
        <w:rPr>
          <w:b/>
          <w:bCs/>
        </w:rPr>
        <w:t xml:space="preserve"> </w:t>
      </w:r>
      <w:r w:rsidR="00E431DF">
        <w:rPr>
          <w:b/>
          <w:bCs/>
        </w:rPr>
        <w:t xml:space="preserve">In the carrier used for NR V2X, </w:t>
      </w:r>
      <w:r w:rsidR="008D2F13">
        <w:rPr>
          <w:b/>
          <w:bCs/>
        </w:rPr>
        <w:t xml:space="preserve">one </w:t>
      </w:r>
      <w:r w:rsidR="00224D08">
        <w:rPr>
          <w:b/>
          <w:bCs/>
        </w:rPr>
        <w:t>or multiple resource pools can</w:t>
      </w:r>
      <w:r w:rsidR="008D2F13">
        <w:rPr>
          <w:b/>
          <w:bCs/>
        </w:rPr>
        <w:t xml:space="preserve"> be configured for V2X si</w:t>
      </w:r>
      <w:r w:rsidR="00224D08">
        <w:rPr>
          <w:b/>
          <w:bCs/>
        </w:rPr>
        <w:t xml:space="preserve">delink transmissions/receptions per sidelink BWP. The resource pool consists of contiguous resources in frequency and potential non-contiguous resources in time. </w:t>
      </w:r>
    </w:p>
    <w:p w14:paraId="5F093CE7" w14:textId="77777777" w:rsidR="00336607" w:rsidRDefault="00336607" w:rsidP="00224D08">
      <w:pPr>
        <w:rPr>
          <w:b/>
          <w:bCs/>
        </w:rPr>
      </w:pPr>
    </w:p>
    <w:bookmarkEnd w:id="5"/>
    <w:bookmarkEnd w:id="6"/>
    <w:p w14:paraId="7D2936B6" w14:textId="7A522AB1" w:rsidR="00383BE9" w:rsidRPr="00AB0955" w:rsidRDefault="00336607" w:rsidP="00336607">
      <w:pPr>
        <w:pStyle w:val="Heading2"/>
      </w:pPr>
      <w:r>
        <w:rPr>
          <w:bCs/>
        </w:rPr>
        <w:t xml:space="preserve">2.5 </w:t>
      </w:r>
      <w:r w:rsidR="006B56C9" w:rsidRPr="00AB0955">
        <w:t xml:space="preserve">Sidelink </w:t>
      </w:r>
      <w:r>
        <w:t xml:space="preserve">control information and </w:t>
      </w:r>
      <w:r w:rsidR="006B56C9" w:rsidRPr="00AB0955">
        <w:t>physical channel structure</w:t>
      </w:r>
    </w:p>
    <w:p w14:paraId="09043CC0" w14:textId="02B6BFAE" w:rsidR="00C655E0" w:rsidRDefault="00383BE9" w:rsidP="00336607">
      <w:pPr>
        <w:spacing w:beforeLines="50" w:before="120" w:afterLines="50" w:after="120"/>
      </w:pPr>
      <w:r>
        <w:t xml:space="preserve">It was agreed </w:t>
      </w:r>
      <w:r w:rsidR="00C655E0">
        <w:t xml:space="preserve">in RAN1-94 </w:t>
      </w:r>
      <w:r>
        <w:t>meeting that a</w:t>
      </w:r>
      <w:r w:rsidRPr="00383BE9">
        <w:t>t least PSCCH a</w:t>
      </w:r>
      <w:r>
        <w:t>nd PSSCH are defined for NR V2X and</w:t>
      </w:r>
      <w:r w:rsidRPr="00383BE9">
        <w:t xml:space="preserve"> PSCCH at least carries information necessary to decode PSSCH</w:t>
      </w:r>
      <w:r>
        <w:t xml:space="preserve">. </w:t>
      </w:r>
      <w:r w:rsidR="00C0004B">
        <w:t xml:space="preserve">In RAN1-94bis, it was agreed that </w:t>
      </w:r>
      <w:r w:rsidR="00C0004B">
        <w:rPr>
          <w:rFonts w:hint="eastAsia"/>
        </w:rPr>
        <w:t>s</w:t>
      </w:r>
      <w:r w:rsidR="00C0004B" w:rsidRPr="00C0004B">
        <w:rPr>
          <w:rFonts w:hint="eastAsia"/>
        </w:rPr>
        <w:t xml:space="preserve">idelink control </w:t>
      </w:r>
      <w:r w:rsidR="00C0004B" w:rsidRPr="00C0004B">
        <w:t>information</w:t>
      </w:r>
      <w:r w:rsidR="00C0004B" w:rsidRPr="00C0004B">
        <w:rPr>
          <w:rFonts w:hint="eastAsia"/>
        </w:rPr>
        <w:t xml:space="preserve"> (SCI) is defined</w:t>
      </w:r>
      <w:r w:rsidR="00C0004B">
        <w:t xml:space="preserve"> which </w:t>
      </w:r>
      <w:r w:rsidR="00C0004B" w:rsidRPr="00C0004B">
        <w:rPr>
          <w:rFonts w:hint="eastAsia"/>
        </w:rPr>
        <w:t xml:space="preserve">includes at least one SCI format </w:t>
      </w:r>
      <w:r w:rsidR="00C0004B">
        <w:t xml:space="preserve">containing </w:t>
      </w:r>
      <w:r w:rsidR="00C0004B" w:rsidRPr="00C0004B">
        <w:rPr>
          <w:rFonts w:hint="eastAsia"/>
        </w:rPr>
        <w:t>the information necessary to decode the corresponding PSSCH</w:t>
      </w:r>
      <w:r w:rsidR="00C0004B">
        <w:t xml:space="preserve">. Here, we discuss in the following that another SCI format may be needed to assist the sidelink resource allocation. </w:t>
      </w:r>
    </w:p>
    <w:p w14:paraId="5C7A4CE2" w14:textId="4F9117BF" w:rsidR="000109BF" w:rsidRPr="000109BF" w:rsidRDefault="00C0004B" w:rsidP="00336607">
      <w:pPr>
        <w:spacing w:beforeLines="50" w:before="120" w:afterLines="50" w:after="120"/>
      </w:pPr>
      <w:r>
        <w:t xml:space="preserve">As we </w:t>
      </w:r>
      <w:r w:rsidR="001A3513">
        <w:t>discussed in previous meeting [3</w:t>
      </w:r>
      <w:r>
        <w:t>], the</w:t>
      </w:r>
      <w:r w:rsidR="000109BF">
        <w:t xml:space="preserve"> </w:t>
      </w:r>
      <w:r>
        <w:t xml:space="preserve">channel sensing </w:t>
      </w:r>
      <w:r w:rsidR="000109BF">
        <w:t>procedure</w:t>
      </w:r>
      <w:r>
        <w:t xml:space="preserve"> defined in LTE V2X sidelink Rel-14/15</w:t>
      </w:r>
      <w:r w:rsidR="000109BF">
        <w:t xml:space="preserve"> works well with the periodic data packets to avoid collisions as much as possible. However, in NR V2X, aperiodic data packets </w:t>
      </w:r>
      <w:r w:rsidR="00E86669">
        <w:t>also need to be supported</w:t>
      </w:r>
      <w:r w:rsidR="000109BF">
        <w:t>. The presence of aperiodic packets at least brings the following two impacts:</w:t>
      </w:r>
    </w:p>
    <w:p w14:paraId="2B654463" w14:textId="77777777" w:rsidR="00D25EAB" w:rsidRPr="00D25EAB" w:rsidRDefault="00605DC4" w:rsidP="00D25EAB">
      <w:pPr>
        <w:pStyle w:val="ListParagraph"/>
        <w:numPr>
          <w:ilvl w:val="0"/>
          <w:numId w:val="19"/>
        </w:numPr>
        <w:rPr>
          <w:rFonts w:asciiTheme="minorHAnsi" w:eastAsiaTheme="minorEastAsia" w:hAnsiTheme="minorHAnsi"/>
          <w:lang w:val="en-US"/>
        </w:rPr>
      </w:pPr>
      <w:r w:rsidRPr="00605DC4">
        <w:rPr>
          <w:rFonts w:asciiTheme="minorHAnsi" w:eastAsiaTheme="minorEastAsia" w:hAnsiTheme="minorHAnsi"/>
          <w:lang w:val="en-US"/>
        </w:rPr>
        <w:t xml:space="preserve">The UEs cannot predict the presence of aperiodic packet with the existing sensing procedure, if the legacy intra-TTI structure of PSCCH and PSSCH is used for the aperiodic packet. </w:t>
      </w:r>
    </w:p>
    <w:p w14:paraId="1A31BC27" w14:textId="370140EE" w:rsidR="000109BF" w:rsidRPr="00A7063C" w:rsidRDefault="000109BF" w:rsidP="000109BF">
      <w:pPr>
        <w:pStyle w:val="ListParagraph"/>
        <w:numPr>
          <w:ilvl w:val="0"/>
          <w:numId w:val="19"/>
        </w:numPr>
        <w:rPr>
          <w:rFonts w:asciiTheme="minorHAnsi" w:eastAsiaTheme="minorEastAsia" w:hAnsiTheme="minorHAnsi"/>
          <w:lang w:val="en-US"/>
        </w:rPr>
      </w:pPr>
      <w:r w:rsidRPr="00A7063C">
        <w:rPr>
          <w:rFonts w:asciiTheme="minorHAnsi" w:eastAsiaTheme="minorEastAsia" w:hAnsiTheme="minorHAnsi"/>
          <w:lang w:val="en-US"/>
        </w:rPr>
        <w:t>T</w:t>
      </w:r>
      <w:r w:rsidRPr="00A7063C">
        <w:rPr>
          <w:rFonts w:asciiTheme="minorHAnsi" w:eastAsiaTheme="minorEastAsia" w:hAnsiTheme="minorHAnsi" w:hint="eastAsia"/>
          <w:lang w:val="en-US"/>
        </w:rPr>
        <w:t xml:space="preserve">he </w:t>
      </w:r>
      <w:r w:rsidR="001E1D5D" w:rsidRPr="00A7063C">
        <w:rPr>
          <w:rFonts w:asciiTheme="minorHAnsi" w:eastAsiaTheme="minorEastAsia" w:hAnsiTheme="minorHAnsi"/>
          <w:lang w:val="en-US"/>
        </w:rPr>
        <w:t xml:space="preserve">energy measurement (S-RSSI), which is averaged over a number of periodic </w:t>
      </w:r>
      <w:r w:rsidR="00571033" w:rsidRPr="00A7063C">
        <w:rPr>
          <w:rFonts w:asciiTheme="minorHAnsi" w:eastAsiaTheme="minorEastAsia" w:hAnsiTheme="minorHAnsi"/>
          <w:lang w:val="en-US"/>
        </w:rPr>
        <w:t>resources</w:t>
      </w:r>
      <w:r w:rsidR="00C0004B">
        <w:rPr>
          <w:rFonts w:asciiTheme="minorHAnsi" w:eastAsiaTheme="minorEastAsia" w:hAnsiTheme="minorHAnsi"/>
          <w:lang w:val="en-US"/>
        </w:rPr>
        <w:t xml:space="preserve"> (with fixed period of 100ms irrespective of the real period of </w:t>
      </w:r>
      <w:r w:rsidR="00EB56BC">
        <w:rPr>
          <w:rFonts w:asciiTheme="minorHAnsi" w:eastAsiaTheme="minorEastAsia" w:hAnsiTheme="minorHAnsi"/>
          <w:lang w:val="en-US"/>
        </w:rPr>
        <w:t>the transmitted packets</w:t>
      </w:r>
      <w:r w:rsidR="00C0004B">
        <w:rPr>
          <w:rFonts w:asciiTheme="minorHAnsi" w:eastAsiaTheme="minorEastAsia" w:hAnsiTheme="minorHAnsi"/>
          <w:lang w:val="en-US"/>
        </w:rPr>
        <w:t>)</w:t>
      </w:r>
      <w:r w:rsidR="00EB56BC">
        <w:rPr>
          <w:rFonts w:asciiTheme="minorHAnsi" w:eastAsiaTheme="minorEastAsia" w:hAnsiTheme="minorHAnsi"/>
          <w:lang w:val="en-US"/>
        </w:rPr>
        <w:t>, may be</w:t>
      </w:r>
      <w:r w:rsidR="001E1D5D" w:rsidRPr="00A7063C">
        <w:rPr>
          <w:rFonts w:asciiTheme="minorHAnsi" w:eastAsiaTheme="minorEastAsia" w:hAnsiTheme="minorHAnsi"/>
          <w:lang w:val="en-US"/>
        </w:rPr>
        <w:t xml:space="preserve"> disturbed </w:t>
      </w:r>
      <w:r w:rsidR="00EB56BC">
        <w:rPr>
          <w:rFonts w:asciiTheme="minorHAnsi" w:eastAsiaTheme="minorEastAsia" w:hAnsiTheme="minorHAnsi"/>
          <w:lang w:val="en-US"/>
        </w:rPr>
        <w:t xml:space="preserve">severely </w:t>
      </w:r>
      <w:r w:rsidR="001E1D5D" w:rsidRPr="00A7063C">
        <w:rPr>
          <w:rFonts w:asciiTheme="minorHAnsi" w:eastAsiaTheme="minorEastAsia" w:hAnsiTheme="minorHAnsi"/>
          <w:lang w:val="en-US"/>
        </w:rPr>
        <w:t>by the aperiodic data packets.</w:t>
      </w:r>
    </w:p>
    <w:p w14:paraId="0F5D9ADB" w14:textId="5CD1637A" w:rsidR="00C36BE8" w:rsidRPr="00336607" w:rsidRDefault="00354AB1" w:rsidP="00336607">
      <w:pPr>
        <w:spacing w:beforeLines="50" w:before="120" w:afterLines="50" w:after="120"/>
      </w:pPr>
      <w:r>
        <w:t>M</w:t>
      </w:r>
      <w:r>
        <w:rPr>
          <w:rFonts w:hint="eastAsia"/>
        </w:rPr>
        <w:t xml:space="preserve">otivated </w:t>
      </w:r>
      <w:r>
        <w:t xml:space="preserve">by the above considerations, </w:t>
      </w:r>
      <w:r w:rsidR="00EB56BC">
        <w:t xml:space="preserve">another SCI format could be defined containing </w:t>
      </w:r>
      <w:r>
        <w:t xml:space="preserve">the </w:t>
      </w:r>
      <w:r w:rsidR="00097BE7">
        <w:t>resource reservation relevant informat</w:t>
      </w:r>
      <w:r w:rsidR="00AB3923">
        <w:t>ion</w:t>
      </w:r>
      <w:r w:rsidR="00EB56BC">
        <w:t xml:space="preserve"> to assist the sidelink resource allocation and is conveyed by one PSCCH format</w:t>
      </w:r>
      <w:r w:rsidR="00097BE7">
        <w:t xml:space="preserve">. In particular, this PSCCH could be transmitted ahead of the associated </w:t>
      </w:r>
      <w:r w:rsidR="00EB56BC">
        <w:t xml:space="preserve">aperiodic </w:t>
      </w:r>
      <w:r w:rsidR="00097BE7">
        <w:t xml:space="preserve">PSSCH to announce its resource reservation to allow collision avoidance and/or preemption operations. </w:t>
      </w:r>
      <w:r w:rsidR="00EE43CA">
        <w:t>Different TTIs are employed for their transmissions</w:t>
      </w:r>
      <w:r w:rsidR="00456359">
        <w:t xml:space="preserve"> respectively</w:t>
      </w:r>
      <w:r w:rsidR="00EE43CA">
        <w:t xml:space="preserve">. </w:t>
      </w:r>
      <w:r w:rsidR="006E2441">
        <w:t>Additionally, for periodic packet transmission, the data packet may be absent in one period (e.g. due to congestion control</w:t>
      </w:r>
      <w:r w:rsidR="00633603">
        <w:t xml:space="preserve"> or no data in the transmit buffer</w:t>
      </w:r>
      <w:r w:rsidR="006E2441">
        <w:t xml:space="preserve">). In this case, the PSCCH with resource reservation relevant information may be transmitted instead to maintain the resource reservation for next period. In this way, the energy measurement over a number of periodic </w:t>
      </w:r>
      <w:r w:rsidR="00571033">
        <w:t>resources</w:t>
      </w:r>
      <w:r w:rsidR="006E2441">
        <w:t xml:space="preserve"> may </w:t>
      </w:r>
      <w:r w:rsidR="00633603">
        <w:t xml:space="preserve">not </w:t>
      </w:r>
      <w:r w:rsidR="006E2441">
        <w:t xml:space="preserve">be </w:t>
      </w:r>
      <w:r w:rsidR="00633603">
        <w:t xml:space="preserve">needed anymore </w:t>
      </w:r>
      <w:r w:rsidR="00F4616B">
        <w:t>in the channel sensing procedure to avoid the issue</w:t>
      </w:r>
      <w:r w:rsidR="00633603">
        <w:t>s</w:t>
      </w:r>
      <w:r w:rsidR="00F4616B">
        <w:t xml:space="preserve"> mentioned above. </w:t>
      </w:r>
      <w:r w:rsidR="006E2441">
        <w:t xml:space="preserve"> </w:t>
      </w:r>
    </w:p>
    <w:p w14:paraId="2973BB7D" w14:textId="7809528F" w:rsidR="00D16D86" w:rsidRDefault="00D26AFB" w:rsidP="00336607">
      <w:pPr>
        <w:spacing w:beforeLines="50" w:before="120" w:afterLines="50" w:after="120"/>
      </w:pPr>
      <w:r>
        <w:t>The usage scenarios of the SCI format with resource reservation information over PSCCH are illustrated in Figure 3</w:t>
      </w:r>
      <w:r w:rsidR="00BF57AD">
        <w:t xml:space="preserve"> for periodic/aperiodic packets</w:t>
      </w:r>
      <w:r>
        <w:t>. For simple description, this SCI format is denoted as SCI-R and the SCI for data pack</w:t>
      </w:r>
      <w:r w:rsidR="00C36BE8">
        <w:t>et decodin</w:t>
      </w:r>
      <w:r w:rsidR="00336607">
        <w:t xml:space="preserve">g is denoted as SCI-D in the </w:t>
      </w:r>
      <w:r w:rsidR="00C36BE8">
        <w:t xml:space="preserve">figure. As shown in </w:t>
      </w:r>
      <w:r w:rsidR="00BF57AD">
        <w:t>Figure 3a</w:t>
      </w:r>
      <w:r w:rsidR="00C36BE8">
        <w:t xml:space="preserve">, for aperiodic data packet, the transmitter can select the resources for PSSCH and PSCCH with SCI-R based on the channel sensing result. The transmission of SCI-R </w:t>
      </w:r>
      <w:r w:rsidR="00966C5B">
        <w:t xml:space="preserve">which precedes the associated PSSCH </w:t>
      </w:r>
      <w:r w:rsidR="00C36BE8">
        <w:t xml:space="preserve">announces the resource reservation </w:t>
      </w:r>
      <w:r w:rsidR="00966C5B">
        <w:t xml:space="preserve">to other UEs such that the collision avoidance and preemption operations could be enabled. </w:t>
      </w:r>
      <w:r w:rsidR="00A1438C">
        <w:t xml:space="preserve">Note that the target receiver </w:t>
      </w:r>
      <w:r w:rsidR="00A1438C">
        <w:lastRenderedPageBreak/>
        <w:t>could still decode the PSSCH even if it misses the SCI-R (e.g. due to half-duplex constraint</w:t>
      </w:r>
      <w:r w:rsidR="00EC4440">
        <w:t xml:space="preserve"> or collision/interference</w:t>
      </w:r>
      <w:r w:rsidR="00A1438C">
        <w:t xml:space="preserve">) since the SCI-D contains all the control information necessary to decode the data packet. </w:t>
      </w:r>
    </w:p>
    <w:p w14:paraId="16E72175" w14:textId="77777777" w:rsidR="00D26AFB" w:rsidRDefault="00D26AFB" w:rsidP="00414470"/>
    <w:p w14:paraId="3BFB3B61" w14:textId="40FB8377" w:rsidR="00D26AFB" w:rsidRDefault="008B7096" w:rsidP="00D26AFB">
      <w:pPr>
        <w:jc w:val="center"/>
      </w:pPr>
      <w:r>
        <w:object w:dxaOrig="6631" w:dyaOrig="3972" w14:anchorId="4983ED92">
          <v:shape id="_x0000_i1027" type="#_x0000_t75" style="width:315pt;height:188.25pt" o:ole="">
            <v:imagedata r:id="rId14" o:title=""/>
          </v:shape>
          <o:OLEObject Type="Embed" ProgID="Visio.Drawing.11" ShapeID="_x0000_i1027" DrawAspect="Content" ObjectID="_1602722108" r:id="rId15"/>
        </w:object>
      </w:r>
    </w:p>
    <w:p w14:paraId="295AE657" w14:textId="134228AC" w:rsidR="00391B7F" w:rsidRPr="00391B7F" w:rsidRDefault="002C2D65" w:rsidP="00391B7F">
      <w:pPr>
        <w:pStyle w:val="ListParagraph"/>
        <w:numPr>
          <w:ilvl w:val="0"/>
          <w:numId w:val="29"/>
        </w:numPr>
        <w:jc w:val="center"/>
      </w:pPr>
      <w:r>
        <w:rPr>
          <w:rFonts w:eastAsiaTheme="minorEastAsia"/>
        </w:rPr>
        <w:t>SCI-R usage for aperiodic packet</w:t>
      </w:r>
    </w:p>
    <w:p w14:paraId="3E8BBF3C" w14:textId="77777777" w:rsidR="00391B7F" w:rsidRDefault="00391B7F" w:rsidP="00391B7F">
      <w:pPr>
        <w:pStyle w:val="ListParagraph"/>
        <w:ind w:left="360"/>
        <w:rPr>
          <w:rFonts w:eastAsiaTheme="minorEastAsia"/>
        </w:rPr>
      </w:pPr>
    </w:p>
    <w:p w14:paraId="19964AB4" w14:textId="1375419B" w:rsidR="00391B7F" w:rsidRDefault="002C2D65" w:rsidP="00391B7F">
      <w:pPr>
        <w:pStyle w:val="ListParagraph"/>
        <w:ind w:left="360"/>
        <w:jc w:val="center"/>
      </w:pPr>
      <w:r>
        <w:object w:dxaOrig="7116" w:dyaOrig="4363" w14:anchorId="3A5D6E0D">
          <v:shape id="_x0000_i1028" type="#_x0000_t75" style="width:313.5pt;height:192.75pt" o:ole="">
            <v:imagedata r:id="rId16" o:title=""/>
          </v:shape>
          <o:OLEObject Type="Embed" ProgID="Visio.Drawing.11" ShapeID="_x0000_i1028" DrawAspect="Content" ObjectID="_1602722109" r:id="rId17"/>
        </w:object>
      </w:r>
    </w:p>
    <w:p w14:paraId="02365629" w14:textId="39C3A28C" w:rsidR="00391B7F" w:rsidRDefault="002C2D65" w:rsidP="008B7096">
      <w:pPr>
        <w:pStyle w:val="ListParagraph"/>
        <w:numPr>
          <w:ilvl w:val="0"/>
          <w:numId w:val="29"/>
        </w:numPr>
        <w:jc w:val="center"/>
      </w:pPr>
      <w:r>
        <w:rPr>
          <w:rFonts w:eastAsiaTheme="minorEastAsia"/>
        </w:rPr>
        <w:t>SCI-R usage for periodic packet</w:t>
      </w:r>
    </w:p>
    <w:p w14:paraId="2D2D57E7" w14:textId="77777777" w:rsidR="00633603" w:rsidRDefault="00633603" w:rsidP="00414470"/>
    <w:p w14:paraId="3F9211DC" w14:textId="16FDDE80" w:rsidR="00633603" w:rsidRDefault="002C2D65" w:rsidP="002C2D65">
      <w:pPr>
        <w:jc w:val="center"/>
      </w:pPr>
      <w:r w:rsidRPr="00533A1C">
        <w:rPr>
          <w:rFonts w:hint="eastAsia"/>
          <w:b/>
        </w:rPr>
        <w:t xml:space="preserve">Figure </w:t>
      </w:r>
      <w:r w:rsidRPr="00533A1C">
        <w:rPr>
          <w:b/>
        </w:rPr>
        <w:t>3: Illustration of SCI-R usage for periodic/aperiodic packets</w:t>
      </w:r>
    </w:p>
    <w:p w14:paraId="244D9F35" w14:textId="77777777" w:rsidR="002C2D65" w:rsidRPr="00D16D86" w:rsidRDefault="002C2D65" w:rsidP="002C2D65">
      <w:pPr>
        <w:jc w:val="center"/>
      </w:pPr>
    </w:p>
    <w:p w14:paraId="6D60865F" w14:textId="148780BA" w:rsidR="00AB0955" w:rsidRDefault="006B56C9" w:rsidP="00AB0955">
      <w:pPr>
        <w:spacing w:beforeLines="50" w:before="120"/>
        <w:rPr>
          <w:b/>
          <w:bCs/>
        </w:rPr>
      </w:pPr>
      <w:r>
        <w:rPr>
          <w:b/>
          <w:bCs/>
        </w:rPr>
        <w:t>Proposal</w:t>
      </w:r>
      <w:r w:rsidR="00B261B0">
        <w:rPr>
          <w:b/>
          <w:bCs/>
        </w:rPr>
        <w:t xml:space="preserve"> 7</w:t>
      </w:r>
      <w:r w:rsidR="007D0C5F" w:rsidRPr="00D81368">
        <w:rPr>
          <w:b/>
          <w:bCs/>
        </w:rPr>
        <w:t>:</w:t>
      </w:r>
      <w:r>
        <w:rPr>
          <w:b/>
          <w:bCs/>
        </w:rPr>
        <w:t xml:space="preserve"> </w:t>
      </w:r>
      <w:r w:rsidR="00D81368">
        <w:rPr>
          <w:b/>
          <w:bCs/>
        </w:rPr>
        <w:t xml:space="preserve"> </w:t>
      </w:r>
      <w:r w:rsidR="00EF0AB0">
        <w:rPr>
          <w:b/>
          <w:bCs/>
        </w:rPr>
        <w:t>Support</w:t>
      </w:r>
      <w:r w:rsidR="00BF6CEE">
        <w:rPr>
          <w:b/>
          <w:bCs/>
        </w:rPr>
        <w:t xml:space="preserve"> SCI format with resource reservation information to assist resource allocation for periodic and aperiodic packets</w:t>
      </w:r>
      <w:r w:rsidR="006002EE">
        <w:rPr>
          <w:b/>
          <w:bCs/>
        </w:rPr>
        <w:t xml:space="preserve">. </w:t>
      </w:r>
    </w:p>
    <w:p w14:paraId="23BA90DB" w14:textId="2D621E70" w:rsidR="00CE1603" w:rsidRDefault="00CE1603" w:rsidP="00AB0955">
      <w:pPr>
        <w:spacing w:beforeLines="50" w:before="120"/>
      </w:pPr>
      <w:r>
        <w:rPr>
          <w:b/>
          <w:bCs/>
        </w:rPr>
        <w:lastRenderedPageBreak/>
        <w:t>Proposal</w:t>
      </w:r>
      <w:r w:rsidR="00B261B0">
        <w:rPr>
          <w:b/>
          <w:bCs/>
        </w:rPr>
        <w:t xml:space="preserve"> 8</w:t>
      </w:r>
      <w:r w:rsidRPr="00D81368">
        <w:rPr>
          <w:b/>
          <w:bCs/>
        </w:rPr>
        <w:t>:</w:t>
      </w:r>
      <w:r>
        <w:rPr>
          <w:b/>
          <w:bCs/>
        </w:rPr>
        <w:t xml:space="preserve">  For aperiodic packet</w:t>
      </w:r>
      <w:r w:rsidRPr="00CE1603">
        <w:rPr>
          <w:b/>
          <w:bCs/>
        </w:rPr>
        <w:t xml:space="preserve">, consider </w:t>
      </w:r>
      <w:r>
        <w:rPr>
          <w:b/>
          <w:bCs/>
        </w:rPr>
        <w:t xml:space="preserve">the </w:t>
      </w:r>
      <w:r w:rsidRPr="00CE1603">
        <w:rPr>
          <w:b/>
          <w:bCs/>
        </w:rPr>
        <w:t>PSCCH with resource reservation information transmitted ah</w:t>
      </w:r>
      <w:r>
        <w:rPr>
          <w:b/>
          <w:bCs/>
        </w:rPr>
        <w:t xml:space="preserve">ead of the associated </w:t>
      </w:r>
      <w:r w:rsidRPr="00CE1603">
        <w:rPr>
          <w:b/>
          <w:bCs/>
        </w:rPr>
        <w:t xml:space="preserve">PSSCH </w:t>
      </w:r>
      <w:r w:rsidR="004F0AF1">
        <w:rPr>
          <w:b/>
          <w:bCs/>
        </w:rPr>
        <w:t xml:space="preserve">(in different TTIs) </w:t>
      </w:r>
      <w:r w:rsidRPr="00CE1603">
        <w:rPr>
          <w:b/>
          <w:bCs/>
        </w:rPr>
        <w:t xml:space="preserve">to announce its resource reservation </w:t>
      </w:r>
      <w:r>
        <w:rPr>
          <w:b/>
          <w:bCs/>
        </w:rPr>
        <w:t xml:space="preserve">for </w:t>
      </w:r>
      <w:r w:rsidRPr="00CE1603">
        <w:rPr>
          <w:b/>
          <w:bCs/>
        </w:rPr>
        <w:t>collision avoidance and/or preemption.</w:t>
      </w:r>
      <w:r w:rsidR="004F0AF1">
        <w:rPr>
          <w:b/>
          <w:bCs/>
        </w:rPr>
        <w:t xml:space="preserve"> </w:t>
      </w:r>
    </w:p>
    <w:p w14:paraId="653722AF" w14:textId="7D750663" w:rsidR="00AE73A9" w:rsidRDefault="006D340D" w:rsidP="00336607">
      <w:pPr>
        <w:spacing w:beforeLines="50" w:before="120" w:afterLines="50" w:after="120"/>
      </w:pPr>
      <w:r>
        <w:t>R</w:t>
      </w:r>
      <w:r>
        <w:rPr>
          <w:rFonts w:hint="eastAsia"/>
        </w:rPr>
        <w:t xml:space="preserve">egarding </w:t>
      </w:r>
      <w:r>
        <w:t>the multiplexing of PSCCH and the associated PSSCH, the last RAN1 meeting discussed and</w:t>
      </w:r>
      <w:r w:rsidR="00D64601">
        <w:rPr>
          <w:rFonts w:hint="eastAsia"/>
        </w:rPr>
        <w:t xml:space="preserve"> </w:t>
      </w:r>
      <w:r w:rsidR="00D64601">
        <w:t xml:space="preserve">agreed that </w:t>
      </w:r>
      <w:r w:rsidR="00D64601">
        <w:rPr>
          <w:rFonts w:ascii="Times" w:eastAsia="Batang" w:hAnsi="Times" w:cs="Times New Roman" w:hint="eastAsia"/>
          <w:sz w:val="20"/>
          <w:szCs w:val="20"/>
          <w:lang w:eastAsia="ko-KR"/>
        </w:rPr>
        <w:t>a</w:t>
      </w:r>
      <w:r w:rsidR="00D64601" w:rsidRPr="00D64601">
        <w:rPr>
          <w:rFonts w:ascii="Times" w:eastAsia="Batang" w:hAnsi="Times" w:cs="Times New Roman" w:hint="eastAsia"/>
          <w:sz w:val="20"/>
          <w:szCs w:val="20"/>
          <w:lang w:eastAsia="ko-KR"/>
        </w:rPr>
        <w:t xml:space="preserve">t </w:t>
      </w:r>
      <w:r w:rsidR="00D64601" w:rsidRPr="00D64601">
        <w:rPr>
          <w:rFonts w:hint="eastAsia"/>
        </w:rPr>
        <w:t>least one of Option 1A, 1B, and 3 is supported</w:t>
      </w:r>
      <w:r w:rsidR="00D64601">
        <w:t xml:space="preserve"> and FFS whether to support Option 2. One important issue related to the multiplexing means is the AGC settling at the receivers. In LTE V2X sidelink, it is assumed that the first DFT-s-OFDM symbol of each sidelink TTI (i.e. subframe in LTE sidelink) is used for AGC settling and at the same time the transmit power is kept constant over all the OFDM symbols </w:t>
      </w:r>
      <w:r w:rsidR="0002376E">
        <w:t xml:space="preserve">in the sidelink TTI (except the last symbol). The intra-TTI FDM multiplexing between PSCCH and PSSCH in LTE is in line with the constant power assumption. In NR sidelink, </w:t>
      </w:r>
      <w:r w:rsidR="009223D4">
        <w:t>the situations become</w:t>
      </w:r>
      <w:r w:rsidR="0002376E">
        <w:t xml:space="preserve"> more complicated</w:t>
      </w:r>
      <w:r w:rsidR="009223D4">
        <w:t xml:space="preserve"> </w:t>
      </w:r>
      <w:r w:rsidR="0072508B">
        <w:t xml:space="preserve">since </w:t>
      </w:r>
      <w:r w:rsidR="00D42E3F">
        <w:t xml:space="preserve">in </w:t>
      </w:r>
      <w:r w:rsidR="00FE1FA9">
        <w:t xml:space="preserve">some </w:t>
      </w:r>
      <w:r w:rsidR="00D42E3F">
        <w:t xml:space="preserve">cases </w:t>
      </w:r>
      <w:r w:rsidR="009223D4">
        <w:t xml:space="preserve">sidelink transmission may </w:t>
      </w:r>
      <w:r w:rsidR="00D42E3F">
        <w:t>only carry sidelink control</w:t>
      </w:r>
      <w:r w:rsidR="0072508B">
        <w:t xml:space="preserve"> </w:t>
      </w:r>
      <w:r w:rsidR="00D42E3F">
        <w:t xml:space="preserve">and </w:t>
      </w:r>
      <w:r w:rsidR="009223D4">
        <w:t>span only partial TTI</w:t>
      </w:r>
      <w:r w:rsidR="00D42E3F">
        <w:t xml:space="preserve"> in</w:t>
      </w:r>
      <w:r w:rsidR="00101A47">
        <w:t xml:space="preserve"> case TDM multiplexing is used</w:t>
      </w:r>
      <w:r w:rsidR="00FE1FA9">
        <w:t>, e.g.</w:t>
      </w:r>
    </w:p>
    <w:p w14:paraId="215CB167" w14:textId="18B142F2" w:rsidR="000E2E29" w:rsidRPr="000E2E29" w:rsidRDefault="000E2E29" w:rsidP="000E2E29">
      <w:pPr>
        <w:pStyle w:val="ListParagraph"/>
        <w:numPr>
          <w:ilvl w:val="0"/>
          <w:numId w:val="30"/>
        </w:numPr>
        <w:rPr>
          <w:rFonts w:eastAsiaTheme="minorEastAsia"/>
        </w:rPr>
      </w:pPr>
      <w:r w:rsidRPr="000E2E29">
        <w:rPr>
          <w:rFonts w:eastAsiaTheme="minorEastAsia"/>
        </w:rPr>
        <w:t xml:space="preserve">PSCCH with SCI-R i.e. resource reservation information discussed above may be transmitted at the first symbol(s) of the TTI but without PSSCH in the same TTI. </w:t>
      </w:r>
    </w:p>
    <w:p w14:paraId="01517993" w14:textId="1C58657D" w:rsidR="00FE1FA9" w:rsidRPr="00FE1FA9" w:rsidRDefault="00FE1FA9" w:rsidP="00336607">
      <w:pPr>
        <w:pStyle w:val="ListParagraph"/>
        <w:numPr>
          <w:ilvl w:val="0"/>
          <w:numId w:val="30"/>
        </w:numPr>
        <w:spacing w:beforeLines="50" w:before="120" w:afterLines="50" w:after="120"/>
      </w:pPr>
      <w:r>
        <w:rPr>
          <w:rFonts w:eastAsiaTheme="minorEastAsia"/>
        </w:rPr>
        <w:t xml:space="preserve">HARQ feedback i.e. SFCI may be transmitted at the last symbol(s) of the TTI (except the last symbol) for unicast or groupcast sidelink. </w:t>
      </w:r>
    </w:p>
    <w:p w14:paraId="53485AEB" w14:textId="30520F02" w:rsidR="0012582F" w:rsidRDefault="0072508B" w:rsidP="00336607">
      <w:pPr>
        <w:spacing w:beforeLines="50" w:before="120" w:afterLines="50" w:after="120"/>
      </w:pPr>
      <w:r>
        <w:t>T</w:t>
      </w:r>
      <w:r>
        <w:rPr>
          <w:rFonts w:hint="eastAsia"/>
        </w:rPr>
        <w:t xml:space="preserve">he </w:t>
      </w:r>
      <w:r>
        <w:t xml:space="preserve">above potential partial-TTI sidelink transmission violates the assumption of constant transmit power over all the symbols of the sidelink TTI and may bring trouble to the AGC settling at the receivers, </w:t>
      </w:r>
      <w:r w:rsidR="00D60D12">
        <w:t>e.g.</w:t>
      </w:r>
      <w:r>
        <w:t xml:space="preserve"> when full-TTI sidelink </w:t>
      </w:r>
      <w:r w:rsidR="009C2042">
        <w:t xml:space="preserve">and partial-TTI sidelink are multiplexed in frequency domain </w:t>
      </w:r>
      <w:r w:rsidR="00101A47">
        <w:t xml:space="preserve">in same BWP </w:t>
      </w:r>
      <w:r w:rsidR="009C2042">
        <w:t xml:space="preserve">and the partial-TTI sidelink transmitter happens to be near the full-TTI sidelink receiver. </w:t>
      </w:r>
      <w:r w:rsidR="00D60D12">
        <w:t xml:space="preserve">This </w:t>
      </w:r>
      <w:r w:rsidR="00144C77">
        <w:t xml:space="preserve">may lead to unreasonable AGC adjustment </w:t>
      </w:r>
      <w:r w:rsidR="00D42E3F">
        <w:t xml:space="preserve">and receiving performance loss (e.g. too large or too small signal with increased distortion error) </w:t>
      </w:r>
      <w:r w:rsidR="00101A47">
        <w:t>or complicate AGC operations significantly</w:t>
      </w:r>
      <w:r w:rsidR="0012582F">
        <w:t xml:space="preserve">. Motivated by this issue, it may be beneficial to also support multiplexing </w:t>
      </w:r>
      <w:r w:rsidR="005B6297">
        <w:t>O</w:t>
      </w:r>
      <w:r w:rsidR="0012582F">
        <w:t>ption 2</w:t>
      </w:r>
      <w:r w:rsidR="005E31A3">
        <w:t xml:space="preserve"> for the only-control sidelink transmission </w:t>
      </w:r>
      <w:r w:rsidR="004E24E6">
        <w:t>mentioned above</w:t>
      </w:r>
      <w:r w:rsidR="0012582F">
        <w:t xml:space="preserve">. </w:t>
      </w:r>
    </w:p>
    <w:p w14:paraId="55F986D7" w14:textId="32361C96" w:rsidR="00BF6CEE" w:rsidRPr="00336607" w:rsidRDefault="0012582F" w:rsidP="00336607">
      <w:pPr>
        <w:spacing w:beforeLines="50" w:before="120" w:afterLines="50" w:after="120"/>
      </w:pPr>
      <w:r>
        <w:t xml:space="preserve">Regarding the TDM multiplexing </w:t>
      </w:r>
      <w:r w:rsidR="005B6297">
        <w:t>O</w:t>
      </w:r>
      <w:r>
        <w:t>ptions 1</w:t>
      </w:r>
      <w:r w:rsidR="005B6297">
        <w:t>A</w:t>
      </w:r>
      <w:r>
        <w:t>, 1</w:t>
      </w:r>
      <w:r w:rsidR="005B6297">
        <w:t>B</w:t>
      </w:r>
      <w:r>
        <w:t xml:space="preserve"> and 3,</w:t>
      </w:r>
      <w:r w:rsidR="00967F74">
        <w:t xml:space="preserve"> in </w:t>
      </w:r>
      <w:r w:rsidR="005B6297">
        <w:t>O</w:t>
      </w:r>
      <w:r w:rsidR="00967F74">
        <w:t>ption 1</w:t>
      </w:r>
      <w:r w:rsidR="005B6297">
        <w:t>A</w:t>
      </w:r>
      <w:r w:rsidR="00967F74">
        <w:t xml:space="preserve"> and 1</w:t>
      </w:r>
      <w:r w:rsidR="005B6297">
        <w:t>B</w:t>
      </w:r>
      <w:r w:rsidR="00967F74">
        <w:t xml:space="preserve">, the frequency resources of the first symbol(s) are allocated to PSCCH and are not shared with PSSCH. This may lead to potential issues of mismatched link budget between control and data channel (for </w:t>
      </w:r>
      <w:r w:rsidR="005B6297">
        <w:t>O</w:t>
      </w:r>
      <w:r w:rsidR="00967F74">
        <w:t>ption 1</w:t>
      </w:r>
      <w:r w:rsidR="005B6297">
        <w:t>A</w:t>
      </w:r>
      <w:r w:rsidR="00967F74">
        <w:t xml:space="preserve">) and unnecessary spectrum efficiency loss (for </w:t>
      </w:r>
      <w:r w:rsidR="005B6297">
        <w:t>O</w:t>
      </w:r>
      <w:r w:rsidR="00967F74">
        <w:t>ption 1</w:t>
      </w:r>
      <w:r w:rsidR="005B6297">
        <w:t>A</w:t>
      </w:r>
      <w:r w:rsidR="00967F74">
        <w:t xml:space="preserve"> and 1</w:t>
      </w:r>
      <w:r w:rsidR="005B6297">
        <w:t>B</w:t>
      </w:r>
      <w:r w:rsidR="00967F74">
        <w:t xml:space="preserve">). From this perspective, TDM multiplexing </w:t>
      </w:r>
      <w:r w:rsidR="005B6297">
        <w:t>O</w:t>
      </w:r>
      <w:r w:rsidR="00967F74">
        <w:t>ption 3 is preferred.</w:t>
      </w:r>
      <w:r w:rsidR="00EE76DE">
        <w:t xml:space="preserve"> </w:t>
      </w:r>
      <w:r w:rsidR="005066D8">
        <w:t xml:space="preserve">  </w:t>
      </w:r>
    </w:p>
    <w:p w14:paraId="2AAA0C69" w14:textId="28367160" w:rsidR="007546D4" w:rsidRDefault="00AE73A9" w:rsidP="005E2BEC">
      <w:pPr>
        <w:rPr>
          <w:b/>
        </w:rPr>
      </w:pPr>
      <w:r w:rsidRPr="00AE73A9">
        <w:rPr>
          <w:b/>
        </w:rPr>
        <w:t>P</w:t>
      </w:r>
      <w:r w:rsidRPr="00AE73A9">
        <w:rPr>
          <w:rFonts w:hint="eastAsia"/>
          <w:b/>
        </w:rPr>
        <w:t>roposal</w:t>
      </w:r>
      <w:r w:rsidR="00B261B0">
        <w:rPr>
          <w:b/>
        </w:rPr>
        <w:t xml:space="preserve"> 9</w:t>
      </w:r>
      <w:r w:rsidRPr="00AE73A9">
        <w:rPr>
          <w:rFonts w:hint="eastAsia"/>
          <w:b/>
        </w:rPr>
        <w:t>:</w:t>
      </w:r>
      <w:r w:rsidR="004758C1">
        <w:rPr>
          <w:b/>
        </w:rPr>
        <w:t xml:space="preserve"> </w:t>
      </w:r>
      <w:r w:rsidR="00F06907">
        <w:rPr>
          <w:b/>
        </w:rPr>
        <w:t xml:space="preserve">For </w:t>
      </w:r>
      <w:r w:rsidR="004E24E6">
        <w:rPr>
          <w:b/>
        </w:rPr>
        <w:t>multiplexing of PSSCH and PSCCH</w:t>
      </w:r>
      <w:r w:rsidR="00F06907">
        <w:rPr>
          <w:b/>
        </w:rPr>
        <w:t>, Option 3 is preferred</w:t>
      </w:r>
      <w:r w:rsidR="004E24E6">
        <w:rPr>
          <w:b/>
        </w:rPr>
        <w:t xml:space="preserve"> </w:t>
      </w:r>
      <w:r w:rsidR="00F06907">
        <w:rPr>
          <w:b/>
        </w:rPr>
        <w:t xml:space="preserve">and Option 1A/1B need further study. </w:t>
      </w:r>
    </w:p>
    <w:p w14:paraId="3BF6BF87" w14:textId="4BA83CAD" w:rsidR="00AE73A9" w:rsidRDefault="007546D4" w:rsidP="00B261B0">
      <w:pPr>
        <w:spacing w:beforeLines="50" w:before="120" w:afterLines="50" w:after="120"/>
        <w:rPr>
          <w:b/>
        </w:rPr>
      </w:pPr>
      <w:r>
        <w:rPr>
          <w:b/>
        </w:rPr>
        <w:t>Proposal</w:t>
      </w:r>
      <w:r w:rsidR="00B261B0">
        <w:rPr>
          <w:b/>
        </w:rPr>
        <w:t xml:space="preserve"> 10</w:t>
      </w:r>
      <w:r>
        <w:rPr>
          <w:b/>
        </w:rPr>
        <w:t xml:space="preserve">: </w:t>
      </w:r>
      <w:r w:rsidR="004E24E6">
        <w:rPr>
          <w:b/>
        </w:rPr>
        <w:t>Option 2 can also be supported for the potential only-control sidelink transmission (e.g. SCI for resource reservation</w:t>
      </w:r>
      <w:r>
        <w:rPr>
          <w:b/>
        </w:rPr>
        <w:t xml:space="preserve"> and </w:t>
      </w:r>
      <w:r w:rsidR="00E32A2A">
        <w:rPr>
          <w:b/>
        </w:rPr>
        <w:t xml:space="preserve">SFCI for </w:t>
      </w:r>
      <w:r>
        <w:rPr>
          <w:b/>
        </w:rPr>
        <w:t>HARQ feedback</w:t>
      </w:r>
      <w:r w:rsidR="004E24E6">
        <w:rPr>
          <w:b/>
        </w:rPr>
        <w:t xml:space="preserve">). </w:t>
      </w:r>
    </w:p>
    <w:p w14:paraId="5F7537A7" w14:textId="5A187044" w:rsidR="00F67B42" w:rsidRPr="00B261B0" w:rsidRDefault="00C258AA" w:rsidP="00B261B0">
      <w:pPr>
        <w:spacing w:beforeLines="50" w:before="120" w:afterLines="50" w:after="120"/>
      </w:pPr>
      <w:r>
        <w:t>Hence it’s pr</w:t>
      </w:r>
      <w:r w:rsidR="0064116D">
        <w:rPr>
          <w:rFonts w:hint="eastAsia"/>
        </w:rPr>
        <w:t>e</w:t>
      </w:r>
      <w:r>
        <w:t>ferred that d</w:t>
      </w:r>
      <w:r w:rsidR="00F67B42">
        <w:t xml:space="preserve">edicated control channel </w:t>
      </w:r>
      <w:r>
        <w:t>with SFCI for HARQ</w:t>
      </w:r>
      <w:r w:rsidR="00F67B42">
        <w:t xml:space="preserve"> feedback should occupy 1 slot (i.e.14 OFDM symbols) in time domain and 1 PRB (or 2 PRBs) in frequency domain. For groupcast, to increase spectral efficiency, control channels for </w:t>
      </w:r>
      <w:r>
        <w:t>HARQ</w:t>
      </w:r>
      <w:r w:rsidR="00F67B42">
        <w:t xml:space="preserve"> feedbacks from multiple UEs should be CDMed. NR PUCCH format 1 can be modified for this use. BPSK modulation is used and modulated symbol is spread with a Zadoff-Chu sequence (cyclic shifted) </w:t>
      </w:r>
      <w:r w:rsidR="00B261B0">
        <w:t xml:space="preserve">potentially </w:t>
      </w:r>
      <w:r w:rsidR="00F67B42">
        <w:t>with OCC (orthogonal cover code) in time domain. UEs inside a group employ same sequence but orthogonal cyclic shifts/codes. Group leader coordinates assignment of cyclic shifts/codes to members. In the assigned feedback resource, receiving UEs feedback ACK/NACK information by using their specific cyclic shifts/codes.  The transmitter retransmits the packet if it didn’t receive ACKs from all other UEs in the group.</w:t>
      </w:r>
    </w:p>
    <w:p w14:paraId="6EA88287" w14:textId="102C99A9" w:rsidR="00967F74" w:rsidRDefault="00F67B42" w:rsidP="00B261B0">
      <w:pPr>
        <w:spacing w:beforeLines="50" w:before="120" w:afterLines="50" w:after="120"/>
        <w:rPr>
          <w:b/>
        </w:rPr>
      </w:pPr>
      <w:r w:rsidRPr="00AE73A9">
        <w:rPr>
          <w:b/>
        </w:rPr>
        <w:lastRenderedPageBreak/>
        <w:t>P</w:t>
      </w:r>
      <w:r w:rsidRPr="00AE73A9">
        <w:rPr>
          <w:rFonts w:hint="eastAsia"/>
          <w:b/>
        </w:rPr>
        <w:t>roposal</w:t>
      </w:r>
      <w:r w:rsidR="00B261B0">
        <w:rPr>
          <w:b/>
        </w:rPr>
        <w:t xml:space="preserve"> 11</w:t>
      </w:r>
      <w:r w:rsidRPr="00AE73A9">
        <w:rPr>
          <w:rFonts w:hint="eastAsia"/>
          <w:b/>
        </w:rPr>
        <w:t>:</w:t>
      </w:r>
      <w:r>
        <w:rPr>
          <w:b/>
        </w:rPr>
        <w:t xml:space="preserve"> </w:t>
      </w:r>
      <w:r w:rsidRPr="00F67B42">
        <w:rPr>
          <w:b/>
        </w:rPr>
        <w:t xml:space="preserve">For groupcast, </w:t>
      </w:r>
      <w:r w:rsidR="00C258AA">
        <w:rPr>
          <w:b/>
        </w:rPr>
        <w:t xml:space="preserve">consider </w:t>
      </w:r>
      <w:r w:rsidRPr="00F67B42">
        <w:rPr>
          <w:b/>
        </w:rPr>
        <w:t>UEs inside a group employ</w:t>
      </w:r>
      <w:r w:rsidR="00C258AA">
        <w:rPr>
          <w:b/>
        </w:rPr>
        <w:t>ing</w:t>
      </w:r>
      <w:r w:rsidRPr="00F67B42">
        <w:rPr>
          <w:b/>
        </w:rPr>
        <w:t xml:space="preserve"> same sequence but orthogonal cyclic shifts/codes </w:t>
      </w:r>
      <w:r w:rsidR="00C258AA">
        <w:rPr>
          <w:b/>
        </w:rPr>
        <w:t xml:space="preserve">for </w:t>
      </w:r>
      <w:r w:rsidR="00AD73BB">
        <w:rPr>
          <w:b/>
        </w:rPr>
        <w:t xml:space="preserve">HARQ feedback </w:t>
      </w:r>
      <w:r w:rsidR="00C258AA">
        <w:rPr>
          <w:b/>
        </w:rPr>
        <w:t>control channel</w:t>
      </w:r>
      <w:r w:rsidR="00AD73BB">
        <w:rPr>
          <w:b/>
        </w:rPr>
        <w:t>s</w:t>
      </w:r>
      <w:r w:rsidR="0064116D">
        <w:rPr>
          <w:rFonts w:hint="eastAsia"/>
          <w:b/>
        </w:rPr>
        <w:t xml:space="preserve"> </w:t>
      </w:r>
      <w:r w:rsidRPr="00F67B42">
        <w:rPr>
          <w:b/>
        </w:rPr>
        <w:t>so that the</w:t>
      </w:r>
      <w:r w:rsidR="00B261B0">
        <w:rPr>
          <w:b/>
        </w:rPr>
        <w:t>se</w:t>
      </w:r>
      <w:r w:rsidRPr="00F67B42">
        <w:rPr>
          <w:b/>
        </w:rPr>
        <w:t xml:space="preserve"> feedbacks can be CDMed in the same time/frequency resource for high spectral efficiency.</w:t>
      </w:r>
    </w:p>
    <w:p w14:paraId="6975A53E" w14:textId="77777777" w:rsidR="00B261B0" w:rsidRPr="00B261B0" w:rsidRDefault="00B261B0" w:rsidP="00B261B0">
      <w:pPr>
        <w:spacing w:beforeLines="50" w:before="120" w:afterLines="50" w:after="120"/>
        <w:rPr>
          <w:b/>
        </w:rPr>
      </w:pPr>
    </w:p>
    <w:p w14:paraId="40ACA024" w14:textId="3D3CB6F8" w:rsidR="001D5240" w:rsidRPr="00AB0955" w:rsidRDefault="00336607" w:rsidP="00336607">
      <w:pPr>
        <w:pStyle w:val="Heading2"/>
      </w:pPr>
      <w:r>
        <w:t xml:space="preserve">2.6 </w:t>
      </w:r>
      <w:r w:rsidR="00AB0955">
        <w:t>Channel coding in sidelink control channel</w:t>
      </w:r>
    </w:p>
    <w:p w14:paraId="66C6B1F5" w14:textId="4B498B1C" w:rsidR="001D5240" w:rsidRDefault="008C50DB" w:rsidP="00336607">
      <w:pPr>
        <w:spacing w:beforeLines="50" w:before="120" w:afterLines="50" w:after="120"/>
      </w:pPr>
      <w:r>
        <w:t>Polar code variants are used for eMBB control channels. Specifically, the downlink control channel polar scheme has a unified design which covers a wide range of payload sizes. Meanwhile, it has exceptional coding performance for blocks of small sizes, which is suitable for the control information transmitted in sidelinks.</w:t>
      </w:r>
      <w:r w:rsidR="00433F2F">
        <w:t xml:space="preserve"> Thus, we propose the consideration of leveraging the current DL eMBB control channel coding design for sidelink control channels.</w:t>
      </w:r>
    </w:p>
    <w:p w14:paraId="2865C0FF" w14:textId="02BF4053" w:rsidR="0061280C" w:rsidRDefault="008C50DB" w:rsidP="00336607">
      <w:pPr>
        <w:spacing w:beforeLines="50" w:before="120" w:afterLines="50" w:after="120"/>
      </w:pPr>
      <w:r>
        <w:t>The following diagrams shows its coding performance for two cases, K = 48 and 64, with different coding rates.</w:t>
      </w:r>
    </w:p>
    <w:p w14:paraId="2584E2F4" w14:textId="7E0780AC" w:rsidR="0061280C" w:rsidRDefault="0061280C" w:rsidP="0061280C">
      <w:pPr>
        <w:jc w:val="center"/>
      </w:pPr>
      <w:r w:rsidRPr="0061280C">
        <w:rPr>
          <w:noProof/>
        </w:rPr>
        <w:drawing>
          <wp:inline distT="0" distB="0" distL="0" distR="0" wp14:anchorId="3CD63A29" wp14:editId="786A49A0">
            <wp:extent cx="3840480" cy="2880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40480" cy="2880250"/>
                    </a:xfrm>
                    <a:prstGeom prst="rect">
                      <a:avLst/>
                    </a:prstGeom>
                    <a:noFill/>
                    <a:ln>
                      <a:noFill/>
                    </a:ln>
                  </pic:spPr>
                </pic:pic>
              </a:graphicData>
            </a:graphic>
          </wp:inline>
        </w:drawing>
      </w:r>
    </w:p>
    <w:p w14:paraId="60F05914" w14:textId="5A56CF30" w:rsidR="008C50DB" w:rsidRDefault="008C50DB" w:rsidP="008C50DB">
      <w:pPr>
        <w:jc w:val="center"/>
      </w:pPr>
      <w:r>
        <w:t>(a) # info. Bits = 48</w:t>
      </w:r>
    </w:p>
    <w:p w14:paraId="45FE329F" w14:textId="19302964" w:rsidR="008C50DB" w:rsidRDefault="008C50DB" w:rsidP="008C50DB">
      <w:pPr>
        <w:jc w:val="center"/>
      </w:pPr>
      <w:r w:rsidRPr="008C50DB">
        <w:rPr>
          <w:noProof/>
        </w:rPr>
        <w:lastRenderedPageBreak/>
        <w:drawing>
          <wp:inline distT="0" distB="0" distL="0" distR="0" wp14:anchorId="4F97E5EF" wp14:editId="223C2373">
            <wp:extent cx="3840480" cy="2880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40480" cy="2880250"/>
                    </a:xfrm>
                    <a:prstGeom prst="rect">
                      <a:avLst/>
                    </a:prstGeom>
                    <a:noFill/>
                    <a:ln>
                      <a:noFill/>
                    </a:ln>
                  </pic:spPr>
                </pic:pic>
              </a:graphicData>
            </a:graphic>
          </wp:inline>
        </w:drawing>
      </w:r>
    </w:p>
    <w:p w14:paraId="2E5C2316" w14:textId="451A0D4A" w:rsidR="008C50DB" w:rsidRDefault="008C50DB" w:rsidP="008C50DB">
      <w:pPr>
        <w:jc w:val="center"/>
      </w:pPr>
      <w:r>
        <w:t>(b) # info. Bits = 64</w:t>
      </w:r>
    </w:p>
    <w:p w14:paraId="6B8A12E3" w14:textId="2962665D" w:rsidR="0061280C" w:rsidRPr="00E30E39" w:rsidRDefault="00533A1C" w:rsidP="008C50DB">
      <w:pPr>
        <w:jc w:val="center"/>
        <w:rPr>
          <w:b/>
        </w:rPr>
      </w:pPr>
      <w:r>
        <w:rPr>
          <w:b/>
        </w:rPr>
        <w:t>Figure 4</w:t>
      </w:r>
      <w:r w:rsidR="0061280C" w:rsidRPr="00E30E39">
        <w:rPr>
          <w:b/>
        </w:rPr>
        <w:t>. Performance of</w:t>
      </w:r>
      <w:r w:rsidR="008C50DB" w:rsidRPr="00E30E39">
        <w:rPr>
          <w:b/>
        </w:rPr>
        <w:t xml:space="preserve"> DL eMBB control channel codes</w:t>
      </w:r>
    </w:p>
    <w:p w14:paraId="42542A24" w14:textId="4C66686F" w:rsidR="0061280C" w:rsidRDefault="0061280C" w:rsidP="005E2BEC"/>
    <w:p w14:paraId="621678B2" w14:textId="1A0F8F96" w:rsidR="001D5240" w:rsidRPr="00AC2428" w:rsidRDefault="001D5240" w:rsidP="005E2BEC">
      <w:pPr>
        <w:rPr>
          <w:b/>
        </w:rPr>
      </w:pPr>
      <w:r w:rsidRPr="001D5240">
        <w:rPr>
          <w:b/>
        </w:rPr>
        <w:t>Proposal</w:t>
      </w:r>
      <w:r w:rsidR="00B261B0">
        <w:rPr>
          <w:b/>
        </w:rPr>
        <w:t xml:space="preserve"> 12</w:t>
      </w:r>
      <w:r w:rsidRPr="001D5240">
        <w:rPr>
          <w:b/>
        </w:rPr>
        <w:t>: The channel coding scheme of NR eMBB downlink control channels can be considered for sidelink control channels as well.</w:t>
      </w:r>
    </w:p>
    <w:p w14:paraId="1597BB1D" w14:textId="47DD7881" w:rsidR="000D2D9E" w:rsidRPr="00A272F4" w:rsidRDefault="000D2D9E" w:rsidP="0013155C">
      <w:pPr>
        <w:pStyle w:val="Heading1"/>
        <w:numPr>
          <w:ilvl w:val="0"/>
          <w:numId w:val="31"/>
        </w:numPr>
        <w:spacing w:after="120"/>
        <w:jc w:val="both"/>
        <w:rPr>
          <w:lang w:val="en-US"/>
        </w:rPr>
      </w:pPr>
      <w:r w:rsidRPr="00A272F4">
        <w:rPr>
          <w:lang w:val="en-US"/>
        </w:rPr>
        <w:t>Conclusions</w:t>
      </w:r>
    </w:p>
    <w:p w14:paraId="60F14CF6" w14:textId="580DEE21" w:rsidR="00414470" w:rsidRPr="00AC2428" w:rsidRDefault="000D2D9E" w:rsidP="00AC2428">
      <w:r w:rsidRPr="00A272F4">
        <w:t>In this contribution</w:t>
      </w:r>
      <w:r w:rsidR="00414470">
        <w:t xml:space="preserve"> we </w:t>
      </w:r>
      <w:r w:rsidR="006B56C9">
        <w:t xml:space="preserve">made </w:t>
      </w:r>
      <w:r w:rsidR="00B261B0">
        <w:t xml:space="preserve">further </w:t>
      </w:r>
      <w:r w:rsidR="006B56C9">
        <w:t>discussions</w:t>
      </w:r>
      <w:r w:rsidR="00414470">
        <w:t xml:space="preserve"> on NR V2X sidelink physical layer structure</w:t>
      </w:r>
      <w:r w:rsidR="00D04CD5">
        <w:t>.</w:t>
      </w:r>
      <w:r w:rsidR="00414470">
        <w:t xml:space="preserve"> The following proposals are provided based on the discussions.</w:t>
      </w:r>
    </w:p>
    <w:p w14:paraId="1B7A4C9E" w14:textId="77777777" w:rsidR="00336607" w:rsidRDefault="00336607" w:rsidP="009F08CE">
      <w:pPr>
        <w:rPr>
          <w:b/>
        </w:rPr>
      </w:pPr>
    </w:p>
    <w:p w14:paraId="4A36F321" w14:textId="77777777" w:rsidR="00B261B0" w:rsidRPr="00336607" w:rsidRDefault="00B261B0" w:rsidP="00B261B0">
      <w:pPr>
        <w:spacing w:beforeLines="50" w:before="120" w:afterLines="50" w:after="120"/>
        <w:rPr>
          <w:b/>
        </w:rPr>
      </w:pPr>
      <w:r w:rsidRPr="00AB0955">
        <w:rPr>
          <w:b/>
        </w:rPr>
        <w:t>Proposal</w:t>
      </w:r>
      <w:r>
        <w:rPr>
          <w:b/>
        </w:rPr>
        <w:t xml:space="preserve"> 1: </w:t>
      </w:r>
      <w:r w:rsidRPr="00AB0955">
        <w:rPr>
          <w:b/>
        </w:rPr>
        <w:t xml:space="preserve">Support CP-OFDM as sidelink </w:t>
      </w:r>
      <w:r>
        <w:rPr>
          <w:b/>
        </w:rPr>
        <w:t xml:space="preserve">waveform </w:t>
      </w:r>
      <w:r w:rsidRPr="00AB0955">
        <w:rPr>
          <w:b/>
        </w:rPr>
        <w:t>design, at least for FR1.</w:t>
      </w:r>
    </w:p>
    <w:p w14:paraId="391A0BA3" w14:textId="77777777" w:rsidR="00B261B0" w:rsidRPr="00AB0955" w:rsidRDefault="00B261B0" w:rsidP="00B261B0">
      <w:pPr>
        <w:spacing w:beforeLines="50" w:before="120" w:afterLines="50" w:after="120"/>
        <w:rPr>
          <w:b/>
        </w:rPr>
      </w:pPr>
      <w:r w:rsidRPr="00AB0955">
        <w:rPr>
          <w:b/>
        </w:rPr>
        <w:t>Proposal</w:t>
      </w:r>
      <w:r>
        <w:rPr>
          <w:b/>
        </w:rPr>
        <w:t xml:space="preserve"> 2: </w:t>
      </w:r>
      <w:r w:rsidRPr="00AB0955">
        <w:rPr>
          <w:b/>
        </w:rPr>
        <w:t xml:space="preserve">Support single waveform design for sidelink physical data </w:t>
      </w:r>
      <w:r>
        <w:rPr>
          <w:b/>
        </w:rPr>
        <w:t xml:space="preserve">channel PSSCH </w:t>
      </w:r>
      <w:r w:rsidRPr="00AB0955">
        <w:rPr>
          <w:b/>
        </w:rPr>
        <w:t>and control channel</w:t>
      </w:r>
      <w:r>
        <w:rPr>
          <w:b/>
        </w:rPr>
        <w:t xml:space="preserve"> PSCCH</w:t>
      </w:r>
      <w:r w:rsidRPr="00AB0955">
        <w:rPr>
          <w:b/>
        </w:rPr>
        <w:t>.</w:t>
      </w:r>
    </w:p>
    <w:p w14:paraId="373D2D1B" w14:textId="77777777" w:rsidR="00B261B0" w:rsidRDefault="00B261B0" w:rsidP="00B261B0">
      <w:pPr>
        <w:spacing w:before="50" w:after="50"/>
        <w:rPr>
          <w:b/>
        </w:rPr>
      </w:pPr>
      <w:r>
        <w:rPr>
          <w:b/>
        </w:rPr>
        <w:t>Proposal 3</w:t>
      </w:r>
      <w:r w:rsidRPr="00614890">
        <w:rPr>
          <w:b/>
        </w:rPr>
        <w:t>:</w:t>
      </w:r>
      <w:r>
        <w:rPr>
          <w:b/>
        </w:rPr>
        <w:t xml:space="preserve"> </w:t>
      </w:r>
      <w:r w:rsidRPr="00A7063C">
        <w:rPr>
          <w:b/>
        </w:rPr>
        <w:t xml:space="preserve">NR sidelink supports the </w:t>
      </w:r>
      <w:r>
        <w:rPr>
          <w:b/>
        </w:rPr>
        <w:t xml:space="preserve">CP lengths </w:t>
      </w:r>
      <w:r w:rsidRPr="00A7063C">
        <w:rPr>
          <w:b/>
        </w:rPr>
        <w:t xml:space="preserve">supported by </w:t>
      </w:r>
      <w:r>
        <w:rPr>
          <w:b/>
        </w:rPr>
        <w:t xml:space="preserve">Rel-15 NR </w:t>
      </w:r>
      <w:r w:rsidRPr="00A7063C">
        <w:rPr>
          <w:b/>
        </w:rPr>
        <w:t>Uu.</w:t>
      </w:r>
    </w:p>
    <w:p w14:paraId="40F823D3" w14:textId="77777777" w:rsidR="00B261B0" w:rsidRPr="00336607" w:rsidRDefault="00B261B0" w:rsidP="00B261B0">
      <w:pPr>
        <w:spacing w:before="50" w:after="50"/>
        <w:rPr>
          <w:b/>
        </w:rPr>
      </w:pPr>
      <w:r>
        <w:rPr>
          <w:b/>
        </w:rPr>
        <w:t>Proposal 4</w:t>
      </w:r>
      <w:r w:rsidRPr="004116D4">
        <w:rPr>
          <w:b/>
        </w:rPr>
        <w:t>:</w:t>
      </w:r>
      <w:r>
        <w:rPr>
          <w:b/>
        </w:rPr>
        <w:t xml:space="preserve"> Rel-15 NR Uu type-1 DM-RS configuration could be used for physical sidelink channels. The number of DM-RS symbols per slot may be dynamically configured. </w:t>
      </w:r>
    </w:p>
    <w:p w14:paraId="0A832647" w14:textId="77777777" w:rsidR="00B261B0" w:rsidRPr="004116D4" w:rsidRDefault="00B261B0" w:rsidP="00B261B0">
      <w:pPr>
        <w:spacing w:before="50" w:after="50"/>
        <w:rPr>
          <w:b/>
        </w:rPr>
      </w:pPr>
      <w:r>
        <w:rPr>
          <w:b/>
        </w:rPr>
        <w:t>Proposal 5</w:t>
      </w:r>
      <w:r w:rsidRPr="004116D4">
        <w:rPr>
          <w:b/>
        </w:rPr>
        <w:t xml:space="preserve">: </w:t>
      </w:r>
      <w:r>
        <w:rPr>
          <w:b/>
        </w:rPr>
        <w:t xml:space="preserve">Discuss the support for orthogonal DM-RS signals for potential colliding UEs. </w:t>
      </w:r>
    </w:p>
    <w:p w14:paraId="6460365A" w14:textId="77777777" w:rsidR="00B261B0" w:rsidRDefault="00B261B0" w:rsidP="00B261B0">
      <w:pPr>
        <w:spacing w:beforeLines="50" w:before="120" w:afterLines="50" w:after="120"/>
        <w:rPr>
          <w:b/>
          <w:bCs/>
        </w:rPr>
      </w:pPr>
      <w:r w:rsidRPr="00283C34">
        <w:rPr>
          <w:b/>
          <w:bCs/>
        </w:rPr>
        <w:t>Proposal</w:t>
      </w:r>
      <w:r>
        <w:rPr>
          <w:b/>
          <w:bCs/>
        </w:rPr>
        <w:t xml:space="preserve"> 6: In the carrier used for NR V2X, one or multiple resource pools can be configured for V2X sidelink transmissions/receptions per sidelink BWP. The resource pool consists of contiguous resources in frequency and potential non-contiguous resources in time. </w:t>
      </w:r>
    </w:p>
    <w:p w14:paraId="5A11FC40" w14:textId="77777777" w:rsidR="00B261B0" w:rsidRDefault="00B261B0" w:rsidP="00B261B0">
      <w:pPr>
        <w:spacing w:beforeLines="50" w:before="120" w:after="50"/>
        <w:rPr>
          <w:b/>
          <w:bCs/>
        </w:rPr>
      </w:pPr>
      <w:r>
        <w:rPr>
          <w:b/>
          <w:bCs/>
        </w:rPr>
        <w:t>Proposal 7</w:t>
      </w:r>
      <w:r w:rsidRPr="00D81368">
        <w:rPr>
          <w:b/>
          <w:bCs/>
        </w:rPr>
        <w:t>:</w:t>
      </w:r>
      <w:r>
        <w:rPr>
          <w:b/>
          <w:bCs/>
        </w:rPr>
        <w:t xml:space="preserve">  Support SCI format with resource reservation information to assist resource allocation for periodic and aperiodic packets. </w:t>
      </w:r>
    </w:p>
    <w:p w14:paraId="4D024C2E" w14:textId="5AE0B3D1" w:rsidR="00B261B0" w:rsidRDefault="00B261B0" w:rsidP="00B261B0">
      <w:pPr>
        <w:spacing w:beforeLines="50" w:before="120" w:after="50"/>
      </w:pPr>
      <w:r>
        <w:rPr>
          <w:b/>
          <w:bCs/>
        </w:rPr>
        <w:lastRenderedPageBreak/>
        <w:t>Proposal 8</w:t>
      </w:r>
      <w:r w:rsidRPr="00D81368">
        <w:rPr>
          <w:b/>
          <w:bCs/>
        </w:rPr>
        <w:t>:</w:t>
      </w:r>
      <w:r>
        <w:rPr>
          <w:b/>
          <w:bCs/>
        </w:rPr>
        <w:t xml:space="preserve">  For aperiodic packet</w:t>
      </w:r>
      <w:r w:rsidRPr="00CE1603">
        <w:rPr>
          <w:b/>
          <w:bCs/>
        </w:rPr>
        <w:t xml:space="preserve">, consider </w:t>
      </w:r>
      <w:r>
        <w:rPr>
          <w:b/>
          <w:bCs/>
        </w:rPr>
        <w:t xml:space="preserve">the </w:t>
      </w:r>
      <w:r w:rsidRPr="00CE1603">
        <w:rPr>
          <w:b/>
          <w:bCs/>
        </w:rPr>
        <w:t>PSCCH with resource reservation information transmitted ah</w:t>
      </w:r>
      <w:r>
        <w:rPr>
          <w:b/>
          <w:bCs/>
        </w:rPr>
        <w:t xml:space="preserve">ead of the associated </w:t>
      </w:r>
      <w:r w:rsidRPr="00CE1603">
        <w:rPr>
          <w:b/>
          <w:bCs/>
        </w:rPr>
        <w:t xml:space="preserve">PSSCH </w:t>
      </w:r>
      <w:r>
        <w:rPr>
          <w:b/>
          <w:bCs/>
        </w:rPr>
        <w:t xml:space="preserve">(in different TTIs) </w:t>
      </w:r>
      <w:r w:rsidRPr="00CE1603">
        <w:rPr>
          <w:b/>
          <w:bCs/>
        </w:rPr>
        <w:t xml:space="preserve">to announce its resource reservation </w:t>
      </w:r>
      <w:r>
        <w:rPr>
          <w:b/>
          <w:bCs/>
        </w:rPr>
        <w:t xml:space="preserve">for collision avoidance and/or </w:t>
      </w:r>
      <w:r w:rsidRPr="00CE1603">
        <w:rPr>
          <w:b/>
          <w:bCs/>
        </w:rPr>
        <w:t>preemption.</w:t>
      </w:r>
      <w:r>
        <w:rPr>
          <w:b/>
          <w:bCs/>
        </w:rPr>
        <w:t xml:space="preserve"> </w:t>
      </w:r>
    </w:p>
    <w:p w14:paraId="6C314F29" w14:textId="77777777" w:rsidR="00B261B0" w:rsidRDefault="00B261B0" w:rsidP="00B261B0">
      <w:pPr>
        <w:spacing w:before="50" w:after="50"/>
        <w:rPr>
          <w:b/>
        </w:rPr>
      </w:pPr>
      <w:r w:rsidRPr="00AE73A9">
        <w:rPr>
          <w:b/>
        </w:rPr>
        <w:t>P</w:t>
      </w:r>
      <w:r w:rsidRPr="00AE73A9">
        <w:rPr>
          <w:rFonts w:hint="eastAsia"/>
          <w:b/>
        </w:rPr>
        <w:t>roposal</w:t>
      </w:r>
      <w:r>
        <w:rPr>
          <w:b/>
        </w:rPr>
        <w:t xml:space="preserve"> 9</w:t>
      </w:r>
      <w:r w:rsidRPr="00AE73A9">
        <w:rPr>
          <w:rFonts w:hint="eastAsia"/>
          <w:b/>
        </w:rPr>
        <w:t>:</w:t>
      </w:r>
      <w:r>
        <w:rPr>
          <w:b/>
        </w:rPr>
        <w:t xml:space="preserve"> For multiplexing of PSSCH and PSCCH, Option 3 is preferred and Option 1A/1B need further study. </w:t>
      </w:r>
    </w:p>
    <w:p w14:paraId="3AB6B88D" w14:textId="048EDED8" w:rsidR="00B261B0" w:rsidRDefault="00B261B0" w:rsidP="00B261B0">
      <w:pPr>
        <w:spacing w:beforeLines="50" w:before="120" w:afterLines="50" w:after="120"/>
        <w:rPr>
          <w:b/>
        </w:rPr>
      </w:pPr>
      <w:r>
        <w:rPr>
          <w:b/>
        </w:rPr>
        <w:t xml:space="preserve">Proposal 10: Option 2 can also be supported for the potential only-control sidelink transmission (e.g. SCI for resource reservation and SFCI for HARQ feedback). </w:t>
      </w:r>
    </w:p>
    <w:p w14:paraId="0ED2DF5A" w14:textId="77777777" w:rsidR="00B261B0" w:rsidRDefault="00B261B0" w:rsidP="00B261B0">
      <w:pPr>
        <w:spacing w:beforeLines="50" w:before="120" w:afterLines="50" w:after="120"/>
        <w:rPr>
          <w:b/>
        </w:rPr>
      </w:pPr>
      <w:r w:rsidRPr="00AE73A9">
        <w:rPr>
          <w:b/>
        </w:rPr>
        <w:t>P</w:t>
      </w:r>
      <w:r w:rsidRPr="00AE73A9">
        <w:rPr>
          <w:rFonts w:hint="eastAsia"/>
          <w:b/>
        </w:rPr>
        <w:t>roposal</w:t>
      </w:r>
      <w:r>
        <w:rPr>
          <w:b/>
        </w:rPr>
        <w:t xml:space="preserve"> 11</w:t>
      </w:r>
      <w:r w:rsidRPr="00AE73A9">
        <w:rPr>
          <w:rFonts w:hint="eastAsia"/>
          <w:b/>
        </w:rPr>
        <w:t>:</w:t>
      </w:r>
      <w:r>
        <w:rPr>
          <w:b/>
        </w:rPr>
        <w:t xml:space="preserve"> </w:t>
      </w:r>
      <w:r w:rsidRPr="00F67B42">
        <w:rPr>
          <w:b/>
        </w:rPr>
        <w:t xml:space="preserve">For groupcast, </w:t>
      </w:r>
      <w:r>
        <w:rPr>
          <w:b/>
        </w:rPr>
        <w:t xml:space="preserve">consider </w:t>
      </w:r>
      <w:r w:rsidRPr="00F67B42">
        <w:rPr>
          <w:b/>
        </w:rPr>
        <w:t>UEs inside a group employ</w:t>
      </w:r>
      <w:r>
        <w:rPr>
          <w:b/>
        </w:rPr>
        <w:t>ing</w:t>
      </w:r>
      <w:r w:rsidRPr="00F67B42">
        <w:rPr>
          <w:b/>
        </w:rPr>
        <w:t xml:space="preserve"> same sequence but orthogonal cyclic shifts/codes </w:t>
      </w:r>
      <w:r>
        <w:rPr>
          <w:b/>
        </w:rPr>
        <w:t>for HARQ feedback control channels</w:t>
      </w:r>
      <w:r>
        <w:rPr>
          <w:rFonts w:hint="eastAsia"/>
          <w:b/>
        </w:rPr>
        <w:t xml:space="preserve"> </w:t>
      </w:r>
      <w:r w:rsidRPr="00F67B42">
        <w:rPr>
          <w:b/>
        </w:rPr>
        <w:t>so that the</w:t>
      </w:r>
      <w:r>
        <w:rPr>
          <w:b/>
        </w:rPr>
        <w:t>se</w:t>
      </w:r>
      <w:r w:rsidRPr="00F67B42">
        <w:rPr>
          <w:b/>
        </w:rPr>
        <w:t xml:space="preserve"> feedbacks can be CDMed in the same time/frequency resource for high spectral efficiency.</w:t>
      </w:r>
    </w:p>
    <w:p w14:paraId="0D3AEA82" w14:textId="6D1A56DA" w:rsidR="00B261B0" w:rsidRPr="00B261B0" w:rsidRDefault="00B261B0" w:rsidP="00B261B0">
      <w:pPr>
        <w:spacing w:before="50" w:after="50"/>
      </w:pPr>
      <w:r w:rsidRPr="001D5240">
        <w:rPr>
          <w:b/>
        </w:rPr>
        <w:t>Proposal</w:t>
      </w:r>
      <w:r>
        <w:rPr>
          <w:b/>
        </w:rPr>
        <w:t xml:space="preserve"> 12</w:t>
      </w:r>
      <w:r w:rsidRPr="001D5240">
        <w:rPr>
          <w:b/>
        </w:rPr>
        <w:t>: The channel coding scheme of NR eMBB downlink control channels can be considered for sidelink control channels as well.</w:t>
      </w:r>
    </w:p>
    <w:p w14:paraId="50FE635E" w14:textId="77777777" w:rsidR="00B261B0" w:rsidRDefault="00B261B0" w:rsidP="009F08CE">
      <w:pPr>
        <w:rPr>
          <w:b/>
        </w:rPr>
      </w:pPr>
    </w:p>
    <w:p w14:paraId="3A748AD5" w14:textId="3DDA0890" w:rsidR="00414470" w:rsidRDefault="00414470" w:rsidP="005E2BEC">
      <w:pPr>
        <w:rPr>
          <w:b/>
        </w:rPr>
      </w:pPr>
    </w:p>
    <w:p w14:paraId="5FE02A11"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35BAB55A" w14:textId="77777777" w:rsidR="005E2BEC" w:rsidRDefault="00A65F11" w:rsidP="00A65F11">
      <w:pPr>
        <w:numPr>
          <w:ilvl w:val="0"/>
          <w:numId w:val="2"/>
        </w:numPr>
        <w:tabs>
          <w:tab w:val="num" w:pos="708"/>
        </w:tabs>
        <w:spacing w:after="120"/>
      </w:pPr>
      <w:bookmarkStart w:id="7" w:name="_Ref513823147"/>
      <w:r>
        <w:t>RP-181480, “</w:t>
      </w:r>
      <w:bookmarkEnd w:id="7"/>
      <w:r w:rsidRPr="00A65F11">
        <w:t>New SID: Study on NR V2X</w:t>
      </w:r>
      <w:r>
        <w:t>”</w:t>
      </w:r>
    </w:p>
    <w:p w14:paraId="08C84C84" w14:textId="401E3CF8" w:rsidR="00BB283B" w:rsidRDefault="006B56C9" w:rsidP="00D04CD5">
      <w:pPr>
        <w:numPr>
          <w:ilvl w:val="0"/>
          <w:numId w:val="2"/>
        </w:numPr>
        <w:tabs>
          <w:tab w:val="num" w:pos="708"/>
        </w:tabs>
        <w:spacing w:after="120"/>
      </w:pPr>
      <w:bookmarkStart w:id="8" w:name="_Ref521618897"/>
      <w:r>
        <w:rPr>
          <w:rFonts w:hint="eastAsia"/>
        </w:rPr>
        <w:t>RAN1-94</w:t>
      </w:r>
      <w:r w:rsidR="006E1546">
        <w:t>bis</w:t>
      </w:r>
      <w:r>
        <w:rPr>
          <w:rFonts w:hint="eastAsia"/>
        </w:rPr>
        <w:t xml:space="preserve"> Chairman notes</w:t>
      </w:r>
      <w:bookmarkEnd w:id="8"/>
    </w:p>
    <w:p w14:paraId="575856E3" w14:textId="58EF84F1" w:rsidR="006E6F87" w:rsidRPr="00D04CD5" w:rsidRDefault="006E6F87" w:rsidP="006E6F87">
      <w:pPr>
        <w:numPr>
          <w:ilvl w:val="0"/>
          <w:numId w:val="2"/>
        </w:numPr>
        <w:tabs>
          <w:tab w:val="num" w:pos="708"/>
        </w:tabs>
        <w:spacing w:after="120"/>
      </w:pPr>
      <w:r w:rsidRPr="006E6F87">
        <w:t>R1-1811427</w:t>
      </w:r>
      <w:r>
        <w:t xml:space="preserve">, </w:t>
      </w:r>
      <w:r w:rsidRPr="006E6F87">
        <w:t>Discussions on NR V2X Sidelink Physical Layer Structures and Procedures</w:t>
      </w:r>
      <w:r w:rsidR="001A3513">
        <w:t>, Nokia, Nokia Shanghai Bell, RAN1-94bis.</w:t>
      </w:r>
    </w:p>
    <w:p w14:paraId="6F5F0C8D" w14:textId="77777777" w:rsidR="00861122" w:rsidRDefault="00861122" w:rsidP="00861122">
      <w:pPr>
        <w:tabs>
          <w:tab w:val="num" w:pos="708"/>
        </w:tabs>
        <w:spacing w:after="120"/>
      </w:pPr>
    </w:p>
    <w:p w14:paraId="2C7167C6" w14:textId="56D844FE" w:rsidR="00AD2A49" w:rsidRDefault="00AD2A49" w:rsidP="00AD2A49">
      <w:pPr>
        <w:tabs>
          <w:tab w:val="num" w:pos="708"/>
        </w:tabs>
        <w:spacing w:after="120"/>
      </w:pPr>
    </w:p>
    <w:p w14:paraId="04CD938F" w14:textId="78C34D2B" w:rsidR="00D04CD5" w:rsidRDefault="00D04CD5">
      <w:r>
        <w:br w:type="page"/>
      </w:r>
    </w:p>
    <w:p w14:paraId="5E525B72" w14:textId="5CB215D2" w:rsidR="00314ABB" w:rsidRDefault="00DB5BAF" w:rsidP="00414470">
      <w:pPr>
        <w:pStyle w:val="Heading1"/>
        <w:rPr>
          <w:rFonts w:eastAsiaTheme="minorEastAsia"/>
          <w:lang w:eastAsia="zh-CN"/>
        </w:rPr>
      </w:pPr>
      <w:r>
        <w:rPr>
          <w:rFonts w:eastAsiaTheme="minorEastAsia"/>
          <w:lang w:eastAsia="zh-CN"/>
        </w:rPr>
        <w:lastRenderedPageBreak/>
        <w:t>Appendix</w:t>
      </w:r>
    </w:p>
    <w:p w14:paraId="36FBF24E" w14:textId="55F57A2C" w:rsidR="00DB5BAF" w:rsidRDefault="00DB5BAF" w:rsidP="00414470"/>
    <w:p w14:paraId="455CD222" w14:textId="0B9D83DF" w:rsidR="00A16AD3" w:rsidRDefault="00A16AD3" w:rsidP="00414470">
      <w:pPr>
        <w:jc w:val="center"/>
      </w:pPr>
      <w:r>
        <w:rPr>
          <w:rFonts w:hint="eastAsia"/>
        </w:rPr>
        <w:t xml:space="preserve">Table </w:t>
      </w:r>
      <w:r w:rsidR="00CC7801">
        <w:t>A</w:t>
      </w:r>
      <w:r>
        <w:rPr>
          <w:rFonts w:hint="eastAsia"/>
        </w:rPr>
        <w:t>: Simulatio</w:t>
      </w:r>
      <w:r w:rsidR="006B56C9">
        <w:rPr>
          <w:rFonts w:hint="eastAsia"/>
        </w:rPr>
        <w:t>n conditions</w:t>
      </w:r>
      <w:r w:rsidR="00692AFB">
        <w:t xml:space="preserve"> for results of Fig. 2</w:t>
      </w:r>
    </w:p>
    <w:p w14:paraId="5F369933" w14:textId="77777777" w:rsidR="00414470" w:rsidRDefault="00414470" w:rsidP="00414470">
      <w:pPr>
        <w:jc w:val="center"/>
      </w:pPr>
    </w:p>
    <w:tbl>
      <w:tblPr>
        <w:tblStyle w:val="TableGrid"/>
        <w:tblW w:w="0" w:type="auto"/>
        <w:tblInd w:w="421" w:type="dxa"/>
        <w:tblLook w:val="04A0" w:firstRow="1" w:lastRow="0" w:firstColumn="1" w:lastColumn="0" w:noHBand="0" w:noVBand="1"/>
      </w:tblPr>
      <w:tblGrid>
        <w:gridCol w:w="3685"/>
        <w:gridCol w:w="5528"/>
      </w:tblGrid>
      <w:tr w:rsidR="00DB5BAF" w14:paraId="47EB4CFF" w14:textId="77777777" w:rsidTr="00414470">
        <w:tc>
          <w:tcPr>
            <w:tcW w:w="3685" w:type="dxa"/>
          </w:tcPr>
          <w:p w14:paraId="5FAD36E5" w14:textId="10E2A316" w:rsidR="00DB5BAF" w:rsidRDefault="00A16AD3" w:rsidP="00DB5BAF">
            <w:r>
              <w:rPr>
                <w:rFonts w:hint="eastAsia"/>
              </w:rPr>
              <w:t>P</w:t>
            </w:r>
            <w:r w:rsidR="00DB5BAF">
              <w:rPr>
                <w:rFonts w:hint="eastAsia"/>
              </w:rPr>
              <w:t>arameters</w:t>
            </w:r>
          </w:p>
        </w:tc>
        <w:tc>
          <w:tcPr>
            <w:tcW w:w="5528" w:type="dxa"/>
          </w:tcPr>
          <w:p w14:paraId="131FD998" w14:textId="1428657F" w:rsidR="00DB5BAF" w:rsidRDefault="00A16AD3" w:rsidP="00DB5BAF">
            <w:r>
              <w:rPr>
                <w:rFonts w:hint="eastAsia"/>
              </w:rPr>
              <w:t>V</w:t>
            </w:r>
            <w:r w:rsidR="00DB5BAF">
              <w:rPr>
                <w:rFonts w:hint="eastAsia"/>
              </w:rPr>
              <w:t>alues</w:t>
            </w:r>
          </w:p>
        </w:tc>
      </w:tr>
      <w:tr w:rsidR="00160922" w14:paraId="250392C7" w14:textId="77777777" w:rsidTr="00414470">
        <w:tc>
          <w:tcPr>
            <w:tcW w:w="3685" w:type="dxa"/>
          </w:tcPr>
          <w:p w14:paraId="28F5B5FE" w14:textId="18E0E794" w:rsidR="00160922" w:rsidRDefault="00160922" w:rsidP="00160922">
            <w:r>
              <w:t>C</w:t>
            </w:r>
            <w:r>
              <w:rPr>
                <w:rFonts w:hint="eastAsia"/>
              </w:rPr>
              <w:t xml:space="preserve">arrier </w:t>
            </w:r>
            <w:r>
              <w:t>frequency</w:t>
            </w:r>
          </w:p>
        </w:tc>
        <w:tc>
          <w:tcPr>
            <w:tcW w:w="5528" w:type="dxa"/>
          </w:tcPr>
          <w:p w14:paraId="7553A591" w14:textId="3467BC5F" w:rsidR="00160922" w:rsidRDefault="00160922" w:rsidP="00160922">
            <w:r>
              <w:rPr>
                <w:rFonts w:hint="eastAsia"/>
              </w:rPr>
              <w:t>6.0GHz</w:t>
            </w:r>
          </w:p>
        </w:tc>
      </w:tr>
      <w:tr w:rsidR="00160922" w14:paraId="0FA78427" w14:textId="77777777" w:rsidTr="00DB5BAF">
        <w:tc>
          <w:tcPr>
            <w:tcW w:w="3685" w:type="dxa"/>
          </w:tcPr>
          <w:p w14:paraId="7FF1FA9F" w14:textId="5FC29F72" w:rsidR="00160922" w:rsidRDefault="00160922" w:rsidP="00160922">
            <w:r>
              <w:t>P</w:t>
            </w:r>
            <w:r>
              <w:rPr>
                <w:rFonts w:hint="eastAsia"/>
              </w:rPr>
              <w:t xml:space="preserve">acket </w:t>
            </w:r>
            <w:r>
              <w:t>size</w:t>
            </w:r>
          </w:p>
        </w:tc>
        <w:tc>
          <w:tcPr>
            <w:tcW w:w="5528" w:type="dxa"/>
          </w:tcPr>
          <w:p w14:paraId="0128A751" w14:textId="0AB2611E" w:rsidR="00160922" w:rsidRDefault="00160922" w:rsidP="00160922">
            <w:r>
              <w:rPr>
                <w:rFonts w:hint="eastAsia"/>
              </w:rPr>
              <w:t>200 bytes</w:t>
            </w:r>
          </w:p>
        </w:tc>
      </w:tr>
      <w:tr w:rsidR="00160922" w14:paraId="531D6B11" w14:textId="77777777" w:rsidTr="00414470">
        <w:tc>
          <w:tcPr>
            <w:tcW w:w="3685" w:type="dxa"/>
          </w:tcPr>
          <w:p w14:paraId="1522B3BD" w14:textId="274F32B6" w:rsidR="00160922" w:rsidRDefault="00160922" w:rsidP="00160922">
            <w:r>
              <w:rPr>
                <w:rFonts w:hint="eastAsia"/>
              </w:rPr>
              <w:t>Modulation</w:t>
            </w:r>
            <w:r>
              <w:t xml:space="preserve"> and coding</w:t>
            </w:r>
          </w:p>
        </w:tc>
        <w:tc>
          <w:tcPr>
            <w:tcW w:w="5528" w:type="dxa"/>
          </w:tcPr>
          <w:p w14:paraId="58F6369D" w14:textId="34D8BD6E" w:rsidR="00160922" w:rsidRDefault="00160922" w:rsidP="00160922">
            <w:r>
              <w:t>QPSK and 16QAM with 1/2-LDPC</w:t>
            </w:r>
          </w:p>
          <w:p w14:paraId="6F560C29" w14:textId="1D732D2F" w:rsidR="00FC4911" w:rsidRDefault="00FC4911" w:rsidP="00160922">
            <w:r>
              <w:t>Single data layer per transmitter</w:t>
            </w:r>
          </w:p>
        </w:tc>
      </w:tr>
      <w:tr w:rsidR="00FC4911" w14:paraId="10FA687D" w14:textId="77777777" w:rsidTr="00414470">
        <w:tc>
          <w:tcPr>
            <w:tcW w:w="3685" w:type="dxa"/>
          </w:tcPr>
          <w:p w14:paraId="2C68A6D4" w14:textId="493DF9BA" w:rsidR="00FC4911" w:rsidRPr="00FC4911" w:rsidRDefault="00FC4911" w:rsidP="00160922">
            <w:r>
              <w:t>Antenna setting</w:t>
            </w:r>
          </w:p>
        </w:tc>
        <w:tc>
          <w:tcPr>
            <w:tcW w:w="5528" w:type="dxa"/>
          </w:tcPr>
          <w:p w14:paraId="495FCAAC" w14:textId="79E8005F" w:rsidR="00FC4911" w:rsidRDefault="00FC4911" w:rsidP="00160922">
            <w:r>
              <w:t>1TX/4RX</w:t>
            </w:r>
          </w:p>
          <w:p w14:paraId="45D4D4F4" w14:textId="2BBFBBD5" w:rsidR="00FC4911" w:rsidRDefault="00FC4911" w:rsidP="00160922">
            <w:r>
              <w:t>Cross-polarized antennas</w:t>
            </w:r>
          </w:p>
        </w:tc>
      </w:tr>
      <w:tr w:rsidR="00160922" w14:paraId="24486A26" w14:textId="77777777" w:rsidTr="00DB5BAF">
        <w:tc>
          <w:tcPr>
            <w:tcW w:w="3685" w:type="dxa"/>
          </w:tcPr>
          <w:p w14:paraId="7241073C" w14:textId="5A9D7FDD" w:rsidR="00160922" w:rsidRDefault="00160922" w:rsidP="00160922">
            <w:r>
              <w:t>S</w:t>
            </w:r>
            <w:r>
              <w:rPr>
                <w:rFonts w:hint="eastAsia"/>
              </w:rPr>
              <w:t xml:space="preserve">idelink </w:t>
            </w:r>
            <w:r>
              <w:t>waveform</w:t>
            </w:r>
          </w:p>
        </w:tc>
        <w:tc>
          <w:tcPr>
            <w:tcW w:w="5528" w:type="dxa"/>
          </w:tcPr>
          <w:p w14:paraId="43BF7DC3" w14:textId="5C34DCCB" w:rsidR="00160922" w:rsidRDefault="00160922" w:rsidP="00160922">
            <w:r>
              <w:rPr>
                <w:rFonts w:hint="eastAsia"/>
              </w:rPr>
              <w:t>OFDM</w:t>
            </w:r>
          </w:p>
        </w:tc>
      </w:tr>
      <w:tr w:rsidR="00160922" w14:paraId="3AD9975E" w14:textId="77777777" w:rsidTr="00414470">
        <w:tc>
          <w:tcPr>
            <w:tcW w:w="3685" w:type="dxa"/>
          </w:tcPr>
          <w:p w14:paraId="2AA153DA" w14:textId="2EDE9CFE" w:rsidR="00160922" w:rsidRDefault="00160922" w:rsidP="00160922">
            <w:r>
              <w:t>Performance metric</w:t>
            </w:r>
          </w:p>
        </w:tc>
        <w:tc>
          <w:tcPr>
            <w:tcW w:w="5528" w:type="dxa"/>
          </w:tcPr>
          <w:p w14:paraId="0A1AA286" w14:textId="54632D6E" w:rsidR="00160922" w:rsidRPr="00392275" w:rsidRDefault="00160922" w:rsidP="00160922">
            <w:r>
              <w:t>BLER vs. Signal to interference ratio (SIR). Useful signal to noise power ratio (SNR) is fixed to 15dB.</w:t>
            </w:r>
          </w:p>
        </w:tc>
      </w:tr>
      <w:tr w:rsidR="00160922" w14:paraId="2F27892F" w14:textId="77777777" w:rsidTr="00414470">
        <w:tc>
          <w:tcPr>
            <w:tcW w:w="3685" w:type="dxa"/>
          </w:tcPr>
          <w:p w14:paraId="4890BCD3" w14:textId="205F5031" w:rsidR="00160922" w:rsidRDefault="00160922" w:rsidP="00160922">
            <w:r>
              <w:t>F</w:t>
            </w:r>
            <w:r>
              <w:rPr>
                <w:rFonts w:hint="eastAsia"/>
              </w:rPr>
              <w:t xml:space="preserve">ast </w:t>
            </w:r>
            <w:r>
              <w:t>fading channel</w:t>
            </w:r>
          </w:p>
        </w:tc>
        <w:tc>
          <w:tcPr>
            <w:tcW w:w="5528" w:type="dxa"/>
          </w:tcPr>
          <w:p w14:paraId="31A7D0F3" w14:textId="77777777" w:rsidR="00160922" w:rsidRDefault="00160922" w:rsidP="00160922">
            <w:r>
              <w:rPr>
                <w:rFonts w:hint="eastAsia"/>
              </w:rPr>
              <w:t>CDL-A defined in TR38.901 with parameters: CDL delay</w:t>
            </w:r>
            <w:r>
              <w:t xml:space="preserve"> spread 200ns, AOA/AOD angle spread 50deg and ZOA/ZOD angle spread 10deg.</w:t>
            </w:r>
            <w:r>
              <w:rPr>
                <w:rFonts w:hint="eastAsia"/>
              </w:rPr>
              <w:t xml:space="preserve"> </w:t>
            </w:r>
          </w:p>
          <w:p w14:paraId="73A8D606" w14:textId="6FD7E3D9" w:rsidR="00160922" w:rsidRDefault="00160922" w:rsidP="00692AFB">
            <w:r>
              <w:t>Relative velocity: 30kmph</w:t>
            </w:r>
          </w:p>
        </w:tc>
      </w:tr>
      <w:tr w:rsidR="00160922" w14:paraId="21F047EA" w14:textId="77777777" w:rsidTr="00414470">
        <w:tc>
          <w:tcPr>
            <w:tcW w:w="3685" w:type="dxa"/>
          </w:tcPr>
          <w:p w14:paraId="1AC6A439" w14:textId="530F2116" w:rsidR="00160922" w:rsidRDefault="00160922" w:rsidP="00160922">
            <w:r>
              <w:rPr>
                <w:rFonts w:hint="eastAsia"/>
              </w:rPr>
              <w:t xml:space="preserve">Sidelink </w:t>
            </w:r>
            <w:r>
              <w:t>TTI structure</w:t>
            </w:r>
          </w:p>
        </w:tc>
        <w:tc>
          <w:tcPr>
            <w:tcW w:w="5528" w:type="dxa"/>
          </w:tcPr>
          <w:p w14:paraId="5196D182" w14:textId="6C195896" w:rsidR="00160922" w:rsidRDefault="00160922" w:rsidP="00160922">
            <w:r>
              <w:t>Slot (i.e. 14 OFDM symbols)</w:t>
            </w:r>
          </w:p>
        </w:tc>
      </w:tr>
      <w:tr w:rsidR="00160922" w14:paraId="07547A5B" w14:textId="77777777" w:rsidTr="00414470">
        <w:tc>
          <w:tcPr>
            <w:tcW w:w="3685" w:type="dxa"/>
          </w:tcPr>
          <w:p w14:paraId="494786C3" w14:textId="5D2F00BB" w:rsidR="00160922" w:rsidRDefault="00160922" w:rsidP="00160922">
            <w:r>
              <w:rPr>
                <w:rFonts w:hint="eastAsia"/>
              </w:rPr>
              <w:t>SCS</w:t>
            </w:r>
          </w:p>
        </w:tc>
        <w:tc>
          <w:tcPr>
            <w:tcW w:w="5528" w:type="dxa"/>
          </w:tcPr>
          <w:p w14:paraId="5809B43D" w14:textId="484CF1C5" w:rsidR="00160922" w:rsidRDefault="00160922" w:rsidP="00160922">
            <w:r>
              <w:t>15kHz.</w:t>
            </w:r>
          </w:p>
        </w:tc>
      </w:tr>
      <w:tr w:rsidR="00160922" w14:paraId="74BF3DBF" w14:textId="77777777" w:rsidTr="00414470">
        <w:tc>
          <w:tcPr>
            <w:tcW w:w="3685" w:type="dxa"/>
          </w:tcPr>
          <w:p w14:paraId="1A038DC3" w14:textId="4D9810EF" w:rsidR="00160922" w:rsidRDefault="00160922" w:rsidP="00160922">
            <w:r>
              <w:rPr>
                <w:rFonts w:hint="eastAsia"/>
              </w:rPr>
              <w:t>DMRS pattern</w:t>
            </w:r>
          </w:p>
        </w:tc>
        <w:tc>
          <w:tcPr>
            <w:tcW w:w="5528" w:type="dxa"/>
          </w:tcPr>
          <w:p w14:paraId="513B5CBE" w14:textId="77777777" w:rsidR="00160922" w:rsidRDefault="00160922" w:rsidP="00160922">
            <w:r>
              <w:t>NR type-1 DM-RS configuration with 4 DM-RS symbols</w:t>
            </w:r>
          </w:p>
          <w:p w14:paraId="15623CB2" w14:textId="4AE3E8CF" w:rsidR="00160922" w:rsidRDefault="00160922" w:rsidP="00160922">
            <w:r>
              <w:t>DM-RS comb offset = 0 and 1 for useful and interference signals respectively.</w:t>
            </w:r>
          </w:p>
        </w:tc>
      </w:tr>
      <w:tr w:rsidR="00160922" w14:paraId="1121B7D4" w14:textId="77777777" w:rsidTr="00414470">
        <w:tc>
          <w:tcPr>
            <w:tcW w:w="3685" w:type="dxa"/>
          </w:tcPr>
          <w:p w14:paraId="67B0B45B" w14:textId="37CCED1A" w:rsidR="00160922" w:rsidRDefault="00160922" w:rsidP="00160922">
            <w:r>
              <w:t>Timing/frequency offset</w:t>
            </w:r>
          </w:p>
        </w:tc>
        <w:tc>
          <w:tcPr>
            <w:tcW w:w="5528" w:type="dxa"/>
          </w:tcPr>
          <w:p w14:paraId="302662B5" w14:textId="78BB0FE5" w:rsidR="00FC4911" w:rsidRDefault="00692AFB" w:rsidP="00160922">
            <w:r>
              <w:t>Z</w:t>
            </w:r>
            <w:r w:rsidR="00FC4911">
              <w:t>ero timing/frequency offset assumed.</w:t>
            </w:r>
          </w:p>
          <w:p w14:paraId="0103FD86" w14:textId="30E720D8" w:rsidR="00160922" w:rsidRDefault="00160922" w:rsidP="00160922">
            <w:r>
              <w:t>Timing/frequency synchr</w:t>
            </w:r>
            <w:r w:rsidR="00FC4911">
              <w:t>onization were made at receiver based on DM-RS.</w:t>
            </w:r>
          </w:p>
        </w:tc>
      </w:tr>
      <w:tr w:rsidR="00160922" w14:paraId="40960C72" w14:textId="77777777" w:rsidTr="00DB5BAF">
        <w:tc>
          <w:tcPr>
            <w:tcW w:w="3685" w:type="dxa"/>
          </w:tcPr>
          <w:p w14:paraId="5BE3FF61" w14:textId="22E472DE" w:rsidR="00160922" w:rsidRDefault="00160922" w:rsidP="00160922">
            <w:r>
              <w:t>C</w:t>
            </w:r>
            <w:r>
              <w:rPr>
                <w:rFonts w:hint="eastAsia"/>
              </w:rPr>
              <w:t xml:space="preserve">hannel </w:t>
            </w:r>
            <w:r>
              <w:t>estimation</w:t>
            </w:r>
          </w:p>
        </w:tc>
        <w:tc>
          <w:tcPr>
            <w:tcW w:w="5528" w:type="dxa"/>
          </w:tcPr>
          <w:p w14:paraId="54C910CB" w14:textId="76C266E3" w:rsidR="00160922" w:rsidRDefault="00160922" w:rsidP="00160922">
            <w:r>
              <w:t>R</w:t>
            </w:r>
            <w:r>
              <w:rPr>
                <w:rFonts w:hint="eastAsia"/>
              </w:rPr>
              <w:t>eal</w:t>
            </w:r>
          </w:p>
        </w:tc>
      </w:tr>
      <w:tr w:rsidR="00160922" w14:paraId="333F40AB" w14:textId="77777777" w:rsidTr="00DB5BAF">
        <w:tc>
          <w:tcPr>
            <w:tcW w:w="3685" w:type="dxa"/>
          </w:tcPr>
          <w:p w14:paraId="56BE4FC0" w14:textId="4904C680" w:rsidR="00160922" w:rsidRDefault="00160922" w:rsidP="00160922">
            <w:r>
              <w:lastRenderedPageBreak/>
              <w:t>D</w:t>
            </w:r>
            <w:r>
              <w:rPr>
                <w:rFonts w:hint="eastAsia"/>
              </w:rPr>
              <w:t xml:space="preserve">ata </w:t>
            </w:r>
            <w:r>
              <w:t xml:space="preserve">detection </w:t>
            </w:r>
          </w:p>
        </w:tc>
        <w:tc>
          <w:tcPr>
            <w:tcW w:w="5528" w:type="dxa"/>
          </w:tcPr>
          <w:p w14:paraId="5E065031" w14:textId="1AF2179D" w:rsidR="00160922" w:rsidRDefault="00160922" w:rsidP="00160922">
            <w:r>
              <w:t>MMSE-IRC per PRB</w:t>
            </w:r>
          </w:p>
        </w:tc>
      </w:tr>
    </w:tbl>
    <w:p w14:paraId="2BA240F1" w14:textId="77777777" w:rsidR="00DB5BAF" w:rsidRPr="00314ABB" w:rsidRDefault="00DB5BAF" w:rsidP="00414470"/>
    <w:sectPr w:rsidR="00DB5BAF" w:rsidRPr="00314ABB"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D3790" w14:textId="77777777" w:rsidR="00E06659" w:rsidRDefault="00E06659">
      <w:r>
        <w:separator/>
      </w:r>
    </w:p>
  </w:endnote>
  <w:endnote w:type="continuationSeparator" w:id="0">
    <w:p w14:paraId="63826A41" w14:textId="77777777" w:rsidR="00E06659" w:rsidRDefault="00E06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Nokia Sans">
    <w:altName w:val="Arial"/>
    <w:charset w:val="00"/>
    <w:family w:val="swiss"/>
    <w:pitch w:val="variable"/>
    <w:sig w:usb0="00000001" w:usb1="00000000"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DengXian"/>
    <w:panose1 w:val="03000509000000000000"/>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B50DC" w14:textId="77777777" w:rsidR="00E06659" w:rsidRDefault="00E06659">
      <w:r>
        <w:separator/>
      </w:r>
    </w:p>
  </w:footnote>
  <w:footnote w:type="continuationSeparator" w:id="0">
    <w:p w14:paraId="6F74E065" w14:textId="77777777" w:rsidR="00E06659" w:rsidRDefault="00E066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2F08B0"/>
    <w:multiLevelType w:val="hybridMultilevel"/>
    <w:tmpl w:val="07B8587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732D9C"/>
    <w:multiLevelType w:val="hybridMultilevel"/>
    <w:tmpl w:val="3B22F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95892"/>
    <w:multiLevelType w:val="hybridMultilevel"/>
    <w:tmpl w:val="3606E3C4"/>
    <w:lvl w:ilvl="0" w:tplc="6B74BC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FF703B1"/>
    <w:multiLevelType w:val="hybridMultilevel"/>
    <w:tmpl w:val="6E948468"/>
    <w:lvl w:ilvl="0" w:tplc="295060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03088"/>
    <w:multiLevelType w:val="hybridMultilevel"/>
    <w:tmpl w:val="1B40D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55C3592"/>
    <w:multiLevelType w:val="hybridMultilevel"/>
    <w:tmpl w:val="C55CD9EC"/>
    <w:lvl w:ilvl="0" w:tplc="76C277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877AB3"/>
    <w:multiLevelType w:val="hybridMultilevel"/>
    <w:tmpl w:val="1A14C41C"/>
    <w:lvl w:ilvl="0" w:tplc="B55C12E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901C47"/>
    <w:multiLevelType w:val="multilevel"/>
    <w:tmpl w:val="8AEE629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A36DED"/>
    <w:multiLevelType w:val="hybridMultilevel"/>
    <w:tmpl w:val="7010B1BE"/>
    <w:lvl w:ilvl="0" w:tplc="007847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474589"/>
    <w:multiLevelType w:val="hybridMultilevel"/>
    <w:tmpl w:val="B2EEC246"/>
    <w:lvl w:ilvl="0" w:tplc="402C3A00">
      <w:start w:val="5"/>
      <w:numFmt w:val="bullet"/>
      <w:lvlText w:val="-"/>
      <w:lvlJc w:val="left"/>
      <w:pPr>
        <w:ind w:left="420" w:hanging="420"/>
      </w:pPr>
      <w:rPr>
        <w:rFonts w:ascii="Nokia Sans" w:eastAsia="Times New Roman" w:hAnsi="Nokia San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862DE9"/>
    <w:multiLevelType w:val="hybridMultilevel"/>
    <w:tmpl w:val="F1F850C6"/>
    <w:lvl w:ilvl="0" w:tplc="3050E950">
      <w:numFmt w:val="bullet"/>
      <w:lvlText w:val=""/>
      <w:lvlJc w:val="left"/>
      <w:pPr>
        <w:ind w:left="420" w:hanging="420"/>
      </w:pPr>
      <w:rPr>
        <w:rFonts w:ascii="Symbol" w:eastAsia="Times New Roman"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5"/>
  </w:num>
  <w:num w:numId="6">
    <w:abstractNumId w:val="1"/>
  </w:num>
  <w:num w:numId="7">
    <w:abstractNumId w:val="16"/>
  </w:num>
  <w:num w:numId="8">
    <w:abstractNumId w:val="5"/>
  </w:num>
  <w:num w:numId="9">
    <w:abstractNumId w:val="8"/>
  </w:num>
  <w:num w:numId="10">
    <w:abstractNumId w:val="14"/>
  </w:num>
  <w:num w:numId="11">
    <w:abstractNumId w:val="27"/>
  </w:num>
  <w:num w:numId="12">
    <w:abstractNumId w:val="31"/>
  </w:num>
  <w:num w:numId="13">
    <w:abstractNumId w:val="17"/>
  </w:num>
  <w:num w:numId="14">
    <w:abstractNumId w:val="11"/>
  </w:num>
  <w:num w:numId="15">
    <w:abstractNumId w:val="26"/>
  </w:num>
  <w:num w:numId="16">
    <w:abstractNumId w:val="12"/>
  </w:num>
  <w:num w:numId="17">
    <w:abstractNumId w:val="30"/>
  </w:num>
  <w:num w:numId="18">
    <w:abstractNumId w:val="10"/>
  </w:num>
  <w:num w:numId="19">
    <w:abstractNumId w:val="29"/>
  </w:num>
  <w:num w:numId="20">
    <w:abstractNumId w:val="28"/>
  </w:num>
  <w:num w:numId="21">
    <w:abstractNumId w:val="25"/>
  </w:num>
  <w:num w:numId="22">
    <w:abstractNumId w:val="21"/>
  </w:num>
  <w:num w:numId="23">
    <w:abstractNumId w:val="24"/>
  </w:num>
  <w:num w:numId="24">
    <w:abstractNumId w:val="7"/>
  </w:num>
  <w:num w:numId="25">
    <w:abstractNumId w:val="23"/>
  </w:num>
  <w:num w:numId="26">
    <w:abstractNumId w:val="18"/>
  </w:num>
  <w:num w:numId="27">
    <w:abstractNumId w:val="19"/>
  </w:num>
  <w:num w:numId="28">
    <w:abstractNumId w:val="6"/>
  </w:num>
  <w:num w:numId="29">
    <w:abstractNumId w:val="20"/>
  </w:num>
  <w:num w:numId="30">
    <w:abstractNumId w:val="3"/>
  </w:num>
  <w:num w:numId="31">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9BF"/>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76E"/>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69A8"/>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8F9"/>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4D3C"/>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90"/>
    <w:rsid w:val="000716FB"/>
    <w:rsid w:val="00071B6F"/>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558"/>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087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BE7"/>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B1"/>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86C"/>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2E29"/>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47"/>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2E"/>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2F"/>
    <w:rsid w:val="001258B6"/>
    <w:rsid w:val="00125DEA"/>
    <w:rsid w:val="00126260"/>
    <w:rsid w:val="00126B4C"/>
    <w:rsid w:val="001274AC"/>
    <w:rsid w:val="001275E6"/>
    <w:rsid w:val="00127DE2"/>
    <w:rsid w:val="00127F28"/>
    <w:rsid w:val="00127F2F"/>
    <w:rsid w:val="001301E5"/>
    <w:rsid w:val="00130714"/>
    <w:rsid w:val="00130782"/>
    <w:rsid w:val="00130953"/>
    <w:rsid w:val="00130AA9"/>
    <w:rsid w:val="0013155C"/>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7F"/>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C77"/>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D5"/>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922"/>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610"/>
    <w:rsid w:val="001767CA"/>
    <w:rsid w:val="001767F0"/>
    <w:rsid w:val="001769C2"/>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3C"/>
    <w:rsid w:val="00186B4D"/>
    <w:rsid w:val="00186DCB"/>
    <w:rsid w:val="00186E50"/>
    <w:rsid w:val="00186F58"/>
    <w:rsid w:val="001873A0"/>
    <w:rsid w:val="0018767B"/>
    <w:rsid w:val="00190307"/>
    <w:rsid w:val="00190927"/>
    <w:rsid w:val="00190BD5"/>
    <w:rsid w:val="00191727"/>
    <w:rsid w:val="001918FE"/>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20B"/>
    <w:rsid w:val="001A2359"/>
    <w:rsid w:val="001A23D1"/>
    <w:rsid w:val="001A24A2"/>
    <w:rsid w:val="001A258A"/>
    <w:rsid w:val="001A2939"/>
    <w:rsid w:val="001A2A6A"/>
    <w:rsid w:val="001A2AC2"/>
    <w:rsid w:val="001A2FD5"/>
    <w:rsid w:val="001A3037"/>
    <w:rsid w:val="001A30B0"/>
    <w:rsid w:val="001A30FB"/>
    <w:rsid w:val="001A3513"/>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475"/>
    <w:rsid w:val="001C356F"/>
    <w:rsid w:val="001C390F"/>
    <w:rsid w:val="001C3DC6"/>
    <w:rsid w:val="001C3EAE"/>
    <w:rsid w:val="001C4F5F"/>
    <w:rsid w:val="001C518A"/>
    <w:rsid w:val="001C589B"/>
    <w:rsid w:val="001C58A6"/>
    <w:rsid w:val="001C5F88"/>
    <w:rsid w:val="001C619C"/>
    <w:rsid w:val="001C7185"/>
    <w:rsid w:val="001C78F1"/>
    <w:rsid w:val="001C7AB6"/>
    <w:rsid w:val="001C7D77"/>
    <w:rsid w:val="001C7F47"/>
    <w:rsid w:val="001D006C"/>
    <w:rsid w:val="001D0182"/>
    <w:rsid w:val="001D0578"/>
    <w:rsid w:val="001D0593"/>
    <w:rsid w:val="001D05BC"/>
    <w:rsid w:val="001D1258"/>
    <w:rsid w:val="001D13B0"/>
    <w:rsid w:val="001D19F8"/>
    <w:rsid w:val="001D1BA9"/>
    <w:rsid w:val="001D1CFF"/>
    <w:rsid w:val="001D1D8D"/>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240"/>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1D5D"/>
    <w:rsid w:val="001E2160"/>
    <w:rsid w:val="001E220A"/>
    <w:rsid w:val="001E251E"/>
    <w:rsid w:val="001E266E"/>
    <w:rsid w:val="001E2BD5"/>
    <w:rsid w:val="001E2EEF"/>
    <w:rsid w:val="001E3087"/>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DE"/>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15E"/>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51A"/>
    <w:rsid w:val="002146F8"/>
    <w:rsid w:val="00214E0D"/>
    <w:rsid w:val="0021538A"/>
    <w:rsid w:val="0021586D"/>
    <w:rsid w:val="00215FFA"/>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C39"/>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4D08"/>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BF"/>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08B"/>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231"/>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70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B74"/>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7FE"/>
    <w:rsid w:val="002C2C0E"/>
    <w:rsid w:val="002C2D65"/>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0CBC"/>
    <w:rsid w:val="002F17A3"/>
    <w:rsid w:val="002F2508"/>
    <w:rsid w:val="002F297D"/>
    <w:rsid w:val="002F29D2"/>
    <w:rsid w:val="002F2AE0"/>
    <w:rsid w:val="002F300D"/>
    <w:rsid w:val="002F3F16"/>
    <w:rsid w:val="002F4117"/>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2D4"/>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ABB"/>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3DC"/>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27C5B"/>
    <w:rsid w:val="0033076B"/>
    <w:rsid w:val="003308C4"/>
    <w:rsid w:val="00330AA6"/>
    <w:rsid w:val="00330C30"/>
    <w:rsid w:val="00330DE8"/>
    <w:rsid w:val="00331406"/>
    <w:rsid w:val="00331BCC"/>
    <w:rsid w:val="003321C3"/>
    <w:rsid w:val="00332962"/>
    <w:rsid w:val="00332B77"/>
    <w:rsid w:val="00332C85"/>
    <w:rsid w:val="0033443F"/>
    <w:rsid w:val="00335250"/>
    <w:rsid w:val="00335664"/>
    <w:rsid w:val="0033592C"/>
    <w:rsid w:val="00335DF1"/>
    <w:rsid w:val="00335E2A"/>
    <w:rsid w:val="00336225"/>
    <w:rsid w:val="00336607"/>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3B"/>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AB1"/>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128"/>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09D"/>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767"/>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BE9"/>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7F"/>
    <w:rsid w:val="00392275"/>
    <w:rsid w:val="003926BE"/>
    <w:rsid w:val="00392DB8"/>
    <w:rsid w:val="00392DE3"/>
    <w:rsid w:val="00393058"/>
    <w:rsid w:val="003933E7"/>
    <w:rsid w:val="00393651"/>
    <w:rsid w:val="00393B78"/>
    <w:rsid w:val="003945D5"/>
    <w:rsid w:val="00394775"/>
    <w:rsid w:val="00394B44"/>
    <w:rsid w:val="00394BFC"/>
    <w:rsid w:val="00394C79"/>
    <w:rsid w:val="0039502C"/>
    <w:rsid w:val="003950DF"/>
    <w:rsid w:val="00395181"/>
    <w:rsid w:val="003952C6"/>
    <w:rsid w:val="003956CC"/>
    <w:rsid w:val="003956FE"/>
    <w:rsid w:val="0039598F"/>
    <w:rsid w:val="003960D5"/>
    <w:rsid w:val="0039610F"/>
    <w:rsid w:val="0039665F"/>
    <w:rsid w:val="0039680B"/>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DC5"/>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C7F05"/>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067"/>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898"/>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1C2"/>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6D4"/>
    <w:rsid w:val="00411735"/>
    <w:rsid w:val="004118C9"/>
    <w:rsid w:val="0041195D"/>
    <w:rsid w:val="00412243"/>
    <w:rsid w:val="00412697"/>
    <w:rsid w:val="00412A71"/>
    <w:rsid w:val="00412F8D"/>
    <w:rsid w:val="00413369"/>
    <w:rsid w:val="004139BA"/>
    <w:rsid w:val="00413AA2"/>
    <w:rsid w:val="00414129"/>
    <w:rsid w:val="004142CD"/>
    <w:rsid w:val="004142F5"/>
    <w:rsid w:val="00414470"/>
    <w:rsid w:val="004145AE"/>
    <w:rsid w:val="004146B3"/>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3F2F"/>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7A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359"/>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8C1"/>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4DF"/>
    <w:rsid w:val="004C1624"/>
    <w:rsid w:val="004C1991"/>
    <w:rsid w:val="004C2371"/>
    <w:rsid w:val="004C2C4E"/>
    <w:rsid w:val="004C2F01"/>
    <w:rsid w:val="004C3472"/>
    <w:rsid w:val="004C34E8"/>
    <w:rsid w:val="004C3917"/>
    <w:rsid w:val="004C3A42"/>
    <w:rsid w:val="004C3BE1"/>
    <w:rsid w:val="004C3C3C"/>
    <w:rsid w:val="004C3C51"/>
    <w:rsid w:val="004C4384"/>
    <w:rsid w:val="004C47FE"/>
    <w:rsid w:val="004C4BCE"/>
    <w:rsid w:val="004C4BF3"/>
    <w:rsid w:val="004C4F33"/>
    <w:rsid w:val="004C521E"/>
    <w:rsid w:val="004C5C61"/>
    <w:rsid w:val="004C5E5E"/>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653"/>
    <w:rsid w:val="004E17DD"/>
    <w:rsid w:val="004E1AE8"/>
    <w:rsid w:val="004E1CBB"/>
    <w:rsid w:val="004E1D07"/>
    <w:rsid w:val="004E209D"/>
    <w:rsid w:val="004E21D3"/>
    <w:rsid w:val="004E24E6"/>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774"/>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AF1"/>
    <w:rsid w:val="004F0B88"/>
    <w:rsid w:val="004F0C82"/>
    <w:rsid w:val="004F0D57"/>
    <w:rsid w:val="004F1051"/>
    <w:rsid w:val="004F133C"/>
    <w:rsid w:val="004F13D2"/>
    <w:rsid w:val="004F15E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6D8"/>
    <w:rsid w:val="00506A8D"/>
    <w:rsid w:val="00506C2E"/>
    <w:rsid w:val="005074C9"/>
    <w:rsid w:val="00507754"/>
    <w:rsid w:val="00507B61"/>
    <w:rsid w:val="00507BF8"/>
    <w:rsid w:val="00507CAF"/>
    <w:rsid w:val="00507E37"/>
    <w:rsid w:val="00510374"/>
    <w:rsid w:val="00510444"/>
    <w:rsid w:val="005107CC"/>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3A1C"/>
    <w:rsid w:val="00534087"/>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06"/>
    <w:rsid w:val="00536AEE"/>
    <w:rsid w:val="00536F6C"/>
    <w:rsid w:val="00537507"/>
    <w:rsid w:val="00537942"/>
    <w:rsid w:val="00537AB9"/>
    <w:rsid w:val="00537BE9"/>
    <w:rsid w:val="00537D79"/>
    <w:rsid w:val="00537E22"/>
    <w:rsid w:val="00540147"/>
    <w:rsid w:val="005407CC"/>
    <w:rsid w:val="005409BC"/>
    <w:rsid w:val="00540A18"/>
    <w:rsid w:val="00540EB6"/>
    <w:rsid w:val="0054173B"/>
    <w:rsid w:val="005417A0"/>
    <w:rsid w:val="00541E2B"/>
    <w:rsid w:val="005421F5"/>
    <w:rsid w:val="005429A8"/>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435"/>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6CE9"/>
    <w:rsid w:val="0056719E"/>
    <w:rsid w:val="00567457"/>
    <w:rsid w:val="005676C4"/>
    <w:rsid w:val="005701C5"/>
    <w:rsid w:val="005703E3"/>
    <w:rsid w:val="0057054C"/>
    <w:rsid w:val="005706C1"/>
    <w:rsid w:val="00570825"/>
    <w:rsid w:val="005708C3"/>
    <w:rsid w:val="005708C6"/>
    <w:rsid w:val="00570A22"/>
    <w:rsid w:val="00570C83"/>
    <w:rsid w:val="00571033"/>
    <w:rsid w:val="00571358"/>
    <w:rsid w:val="00571382"/>
    <w:rsid w:val="00571C9B"/>
    <w:rsid w:val="0057225B"/>
    <w:rsid w:val="00572364"/>
    <w:rsid w:val="005724BD"/>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7CD"/>
    <w:rsid w:val="00590BF6"/>
    <w:rsid w:val="00591248"/>
    <w:rsid w:val="00591777"/>
    <w:rsid w:val="00591B9C"/>
    <w:rsid w:val="00592160"/>
    <w:rsid w:val="005923C9"/>
    <w:rsid w:val="0059284F"/>
    <w:rsid w:val="005928BF"/>
    <w:rsid w:val="00592A56"/>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5F4"/>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297"/>
    <w:rsid w:val="005B6A24"/>
    <w:rsid w:val="005B6C5F"/>
    <w:rsid w:val="005B6FAE"/>
    <w:rsid w:val="005B703E"/>
    <w:rsid w:val="005B70E8"/>
    <w:rsid w:val="005B7824"/>
    <w:rsid w:val="005C01CF"/>
    <w:rsid w:val="005C039D"/>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226"/>
    <w:rsid w:val="005E1385"/>
    <w:rsid w:val="005E1393"/>
    <w:rsid w:val="005E1A58"/>
    <w:rsid w:val="005E1C06"/>
    <w:rsid w:val="005E20FB"/>
    <w:rsid w:val="005E2980"/>
    <w:rsid w:val="005E2BEC"/>
    <w:rsid w:val="005E2E2C"/>
    <w:rsid w:val="005E2F89"/>
    <w:rsid w:val="005E31A3"/>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4E86"/>
    <w:rsid w:val="005F502F"/>
    <w:rsid w:val="005F509E"/>
    <w:rsid w:val="005F5203"/>
    <w:rsid w:val="005F535C"/>
    <w:rsid w:val="005F53ED"/>
    <w:rsid w:val="005F5C66"/>
    <w:rsid w:val="005F60A0"/>
    <w:rsid w:val="005F64A8"/>
    <w:rsid w:val="005F660A"/>
    <w:rsid w:val="005F6697"/>
    <w:rsid w:val="005F66B5"/>
    <w:rsid w:val="005F6F9C"/>
    <w:rsid w:val="005F6FFC"/>
    <w:rsid w:val="005F718A"/>
    <w:rsid w:val="005F7F11"/>
    <w:rsid w:val="00600127"/>
    <w:rsid w:val="00600292"/>
    <w:rsid w:val="0060029A"/>
    <w:rsid w:val="006002EE"/>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5DC4"/>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0C"/>
    <w:rsid w:val="006128FF"/>
    <w:rsid w:val="00612C73"/>
    <w:rsid w:val="00613036"/>
    <w:rsid w:val="006134CE"/>
    <w:rsid w:val="006138D8"/>
    <w:rsid w:val="00613D19"/>
    <w:rsid w:val="00613EE2"/>
    <w:rsid w:val="00614052"/>
    <w:rsid w:val="00614064"/>
    <w:rsid w:val="006141D8"/>
    <w:rsid w:val="006144AB"/>
    <w:rsid w:val="00614844"/>
    <w:rsid w:val="00614890"/>
    <w:rsid w:val="00614CB2"/>
    <w:rsid w:val="00614CB4"/>
    <w:rsid w:val="00614D1E"/>
    <w:rsid w:val="0061524B"/>
    <w:rsid w:val="0061535A"/>
    <w:rsid w:val="00615624"/>
    <w:rsid w:val="0061565F"/>
    <w:rsid w:val="00615BDB"/>
    <w:rsid w:val="00615EFE"/>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798"/>
    <w:rsid w:val="00626C25"/>
    <w:rsid w:val="00626E64"/>
    <w:rsid w:val="00627BA3"/>
    <w:rsid w:val="00627C39"/>
    <w:rsid w:val="00627E44"/>
    <w:rsid w:val="006300D7"/>
    <w:rsid w:val="00630498"/>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603"/>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16D"/>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1F9"/>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413"/>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291"/>
    <w:rsid w:val="006905B3"/>
    <w:rsid w:val="00690D12"/>
    <w:rsid w:val="00690F0E"/>
    <w:rsid w:val="00691885"/>
    <w:rsid w:val="006919C5"/>
    <w:rsid w:val="00691D43"/>
    <w:rsid w:val="006925FF"/>
    <w:rsid w:val="00692602"/>
    <w:rsid w:val="00692799"/>
    <w:rsid w:val="006927F0"/>
    <w:rsid w:val="0069291A"/>
    <w:rsid w:val="00692979"/>
    <w:rsid w:val="00692A0D"/>
    <w:rsid w:val="00692AFB"/>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2D6"/>
    <w:rsid w:val="0069755C"/>
    <w:rsid w:val="006979B9"/>
    <w:rsid w:val="006979DC"/>
    <w:rsid w:val="00697C2C"/>
    <w:rsid w:val="00697E3A"/>
    <w:rsid w:val="006A015F"/>
    <w:rsid w:val="006A05EF"/>
    <w:rsid w:val="006A0942"/>
    <w:rsid w:val="006A0A03"/>
    <w:rsid w:val="006A13EF"/>
    <w:rsid w:val="006A18CF"/>
    <w:rsid w:val="006A18DD"/>
    <w:rsid w:val="006A1D48"/>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4F22"/>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6C9"/>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09A"/>
    <w:rsid w:val="006D31AF"/>
    <w:rsid w:val="006D31DD"/>
    <w:rsid w:val="006D340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546"/>
    <w:rsid w:val="006E176F"/>
    <w:rsid w:val="006E1791"/>
    <w:rsid w:val="006E2190"/>
    <w:rsid w:val="006E22CC"/>
    <w:rsid w:val="006E2441"/>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6F87"/>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BE"/>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ABF"/>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9C6"/>
    <w:rsid w:val="00721E1D"/>
    <w:rsid w:val="00722B72"/>
    <w:rsid w:val="00723701"/>
    <w:rsid w:val="00723C3B"/>
    <w:rsid w:val="00723EC3"/>
    <w:rsid w:val="00723F42"/>
    <w:rsid w:val="00724426"/>
    <w:rsid w:val="00724D5D"/>
    <w:rsid w:val="00725068"/>
    <w:rsid w:val="0072508B"/>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CC"/>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721"/>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19D"/>
    <w:rsid w:val="007533BC"/>
    <w:rsid w:val="007536BB"/>
    <w:rsid w:val="00753B9D"/>
    <w:rsid w:val="00753D6B"/>
    <w:rsid w:val="00753F01"/>
    <w:rsid w:val="0075412E"/>
    <w:rsid w:val="00754698"/>
    <w:rsid w:val="007546D4"/>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B78"/>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490B"/>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24B"/>
    <w:rsid w:val="007905F4"/>
    <w:rsid w:val="007906BF"/>
    <w:rsid w:val="00790D2F"/>
    <w:rsid w:val="0079114F"/>
    <w:rsid w:val="00791360"/>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26B2"/>
    <w:rsid w:val="007B314C"/>
    <w:rsid w:val="007B322B"/>
    <w:rsid w:val="007B3476"/>
    <w:rsid w:val="007B39C7"/>
    <w:rsid w:val="007B3D55"/>
    <w:rsid w:val="007B3D90"/>
    <w:rsid w:val="007B40AD"/>
    <w:rsid w:val="007B4323"/>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880"/>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0C5F"/>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BA5"/>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0C7"/>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5C2"/>
    <w:rsid w:val="007F7864"/>
    <w:rsid w:val="007F795B"/>
    <w:rsid w:val="007F7B6D"/>
    <w:rsid w:val="007F7C2F"/>
    <w:rsid w:val="007F7C5D"/>
    <w:rsid w:val="00800104"/>
    <w:rsid w:val="00800184"/>
    <w:rsid w:val="00800734"/>
    <w:rsid w:val="00800994"/>
    <w:rsid w:val="00800A0F"/>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141"/>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28E2"/>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1D76"/>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20A"/>
    <w:rsid w:val="0083056F"/>
    <w:rsid w:val="008305EF"/>
    <w:rsid w:val="00830F16"/>
    <w:rsid w:val="00831198"/>
    <w:rsid w:val="008312A4"/>
    <w:rsid w:val="008314BC"/>
    <w:rsid w:val="00831BA2"/>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0E4A"/>
    <w:rsid w:val="0085126C"/>
    <w:rsid w:val="0085130C"/>
    <w:rsid w:val="008513CD"/>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13E"/>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72C"/>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0CB"/>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89B"/>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1D4"/>
    <w:rsid w:val="008A7261"/>
    <w:rsid w:val="008A72A4"/>
    <w:rsid w:val="008A758D"/>
    <w:rsid w:val="008A75C5"/>
    <w:rsid w:val="008A7669"/>
    <w:rsid w:val="008A7819"/>
    <w:rsid w:val="008A7BEA"/>
    <w:rsid w:val="008A7C09"/>
    <w:rsid w:val="008B01A2"/>
    <w:rsid w:val="008B097E"/>
    <w:rsid w:val="008B0B23"/>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096"/>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0DB"/>
    <w:rsid w:val="008C51AC"/>
    <w:rsid w:val="008C52B6"/>
    <w:rsid w:val="008C55F4"/>
    <w:rsid w:val="008C560E"/>
    <w:rsid w:val="008C56B6"/>
    <w:rsid w:val="008C59D5"/>
    <w:rsid w:val="008C5B10"/>
    <w:rsid w:val="008C5E64"/>
    <w:rsid w:val="008C632F"/>
    <w:rsid w:val="008C64CA"/>
    <w:rsid w:val="008C6576"/>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2F13"/>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DC4"/>
    <w:rsid w:val="00920F7A"/>
    <w:rsid w:val="00920FE4"/>
    <w:rsid w:val="00921140"/>
    <w:rsid w:val="009216BF"/>
    <w:rsid w:val="009218D2"/>
    <w:rsid w:val="00921A74"/>
    <w:rsid w:val="00921C9F"/>
    <w:rsid w:val="00921ED5"/>
    <w:rsid w:val="00921FA1"/>
    <w:rsid w:val="009223D4"/>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4E9"/>
    <w:rsid w:val="00933BB2"/>
    <w:rsid w:val="00933C45"/>
    <w:rsid w:val="00933D61"/>
    <w:rsid w:val="00933DE4"/>
    <w:rsid w:val="0093427D"/>
    <w:rsid w:val="00934555"/>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C5B"/>
    <w:rsid w:val="00966EC4"/>
    <w:rsid w:val="0096766C"/>
    <w:rsid w:val="00967851"/>
    <w:rsid w:val="009679AA"/>
    <w:rsid w:val="00967D2D"/>
    <w:rsid w:val="00967EBF"/>
    <w:rsid w:val="00967F74"/>
    <w:rsid w:val="0097020F"/>
    <w:rsid w:val="009705C2"/>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8AF"/>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54FB"/>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51"/>
    <w:rsid w:val="009A44F6"/>
    <w:rsid w:val="009A4ACF"/>
    <w:rsid w:val="009A4D85"/>
    <w:rsid w:val="009A4E72"/>
    <w:rsid w:val="009A50CB"/>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7E0"/>
    <w:rsid w:val="009B6819"/>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42"/>
    <w:rsid w:val="009C20E5"/>
    <w:rsid w:val="009C2223"/>
    <w:rsid w:val="009C2773"/>
    <w:rsid w:val="009C281C"/>
    <w:rsid w:val="009C298A"/>
    <w:rsid w:val="009C3413"/>
    <w:rsid w:val="009C3D88"/>
    <w:rsid w:val="009C4871"/>
    <w:rsid w:val="009C5190"/>
    <w:rsid w:val="009C520B"/>
    <w:rsid w:val="009C5785"/>
    <w:rsid w:val="009C5796"/>
    <w:rsid w:val="009C5874"/>
    <w:rsid w:val="009C6169"/>
    <w:rsid w:val="009C638E"/>
    <w:rsid w:val="009C6768"/>
    <w:rsid w:val="009C6894"/>
    <w:rsid w:val="009C6B3B"/>
    <w:rsid w:val="009C6B7B"/>
    <w:rsid w:val="009C6E93"/>
    <w:rsid w:val="009C7147"/>
    <w:rsid w:val="009C749D"/>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8C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6AC5"/>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2F21"/>
    <w:rsid w:val="00A131A4"/>
    <w:rsid w:val="00A1342F"/>
    <w:rsid w:val="00A13511"/>
    <w:rsid w:val="00A1365A"/>
    <w:rsid w:val="00A13715"/>
    <w:rsid w:val="00A138BA"/>
    <w:rsid w:val="00A13CF1"/>
    <w:rsid w:val="00A1438C"/>
    <w:rsid w:val="00A145D0"/>
    <w:rsid w:val="00A14743"/>
    <w:rsid w:val="00A14B03"/>
    <w:rsid w:val="00A14B5D"/>
    <w:rsid w:val="00A152DD"/>
    <w:rsid w:val="00A1562F"/>
    <w:rsid w:val="00A157EC"/>
    <w:rsid w:val="00A15DBB"/>
    <w:rsid w:val="00A15F14"/>
    <w:rsid w:val="00A16150"/>
    <w:rsid w:val="00A1629D"/>
    <w:rsid w:val="00A1630A"/>
    <w:rsid w:val="00A1637F"/>
    <w:rsid w:val="00A164E9"/>
    <w:rsid w:val="00A16564"/>
    <w:rsid w:val="00A16A02"/>
    <w:rsid w:val="00A16AD3"/>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3DC"/>
    <w:rsid w:val="00A226BE"/>
    <w:rsid w:val="00A22723"/>
    <w:rsid w:val="00A227B5"/>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1DFC"/>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09"/>
    <w:rsid w:val="00A539C9"/>
    <w:rsid w:val="00A53A6D"/>
    <w:rsid w:val="00A53EA7"/>
    <w:rsid w:val="00A54398"/>
    <w:rsid w:val="00A544BF"/>
    <w:rsid w:val="00A54850"/>
    <w:rsid w:val="00A5491C"/>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0A40"/>
    <w:rsid w:val="00A61263"/>
    <w:rsid w:val="00A61828"/>
    <w:rsid w:val="00A618C2"/>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63C"/>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9C8"/>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C38"/>
    <w:rsid w:val="00AA6F9A"/>
    <w:rsid w:val="00AA7C4F"/>
    <w:rsid w:val="00AB001C"/>
    <w:rsid w:val="00AB00CD"/>
    <w:rsid w:val="00AB02C8"/>
    <w:rsid w:val="00AB06B8"/>
    <w:rsid w:val="00AB0955"/>
    <w:rsid w:val="00AB0ADE"/>
    <w:rsid w:val="00AB0CA0"/>
    <w:rsid w:val="00AB102D"/>
    <w:rsid w:val="00AB129E"/>
    <w:rsid w:val="00AB18DF"/>
    <w:rsid w:val="00AB1A33"/>
    <w:rsid w:val="00AB1B3E"/>
    <w:rsid w:val="00AB1C99"/>
    <w:rsid w:val="00AB2857"/>
    <w:rsid w:val="00AB2A53"/>
    <w:rsid w:val="00AB3299"/>
    <w:rsid w:val="00AB3418"/>
    <w:rsid w:val="00AB3491"/>
    <w:rsid w:val="00AB3923"/>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428"/>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768"/>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3BB"/>
    <w:rsid w:val="00AD75A6"/>
    <w:rsid w:val="00AD7806"/>
    <w:rsid w:val="00AD7927"/>
    <w:rsid w:val="00AD79D8"/>
    <w:rsid w:val="00AE0932"/>
    <w:rsid w:val="00AE0D23"/>
    <w:rsid w:val="00AE0E65"/>
    <w:rsid w:val="00AE0E9E"/>
    <w:rsid w:val="00AE1418"/>
    <w:rsid w:val="00AE14B7"/>
    <w:rsid w:val="00AE1519"/>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3A9"/>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2B9"/>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17FAE"/>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88"/>
    <w:rsid w:val="00B251AE"/>
    <w:rsid w:val="00B254EC"/>
    <w:rsid w:val="00B25585"/>
    <w:rsid w:val="00B25A70"/>
    <w:rsid w:val="00B25BD8"/>
    <w:rsid w:val="00B25E1D"/>
    <w:rsid w:val="00B25F9A"/>
    <w:rsid w:val="00B2613A"/>
    <w:rsid w:val="00B261B0"/>
    <w:rsid w:val="00B269CE"/>
    <w:rsid w:val="00B26B9B"/>
    <w:rsid w:val="00B26F51"/>
    <w:rsid w:val="00B2704E"/>
    <w:rsid w:val="00B2757B"/>
    <w:rsid w:val="00B27C26"/>
    <w:rsid w:val="00B27D54"/>
    <w:rsid w:val="00B27E32"/>
    <w:rsid w:val="00B27FF3"/>
    <w:rsid w:val="00B305C0"/>
    <w:rsid w:val="00B30995"/>
    <w:rsid w:val="00B30D4D"/>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606"/>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22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44"/>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1F"/>
    <w:rsid w:val="00BA4C65"/>
    <w:rsid w:val="00BA4D25"/>
    <w:rsid w:val="00BA5224"/>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83B"/>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0DFF"/>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5E5"/>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136"/>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7B"/>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8D"/>
    <w:rsid w:val="00BF3B91"/>
    <w:rsid w:val="00BF3C10"/>
    <w:rsid w:val="00BF3DCE"/>
    <w:rsid w:val="00BF3FFA"/>
    <w:rsid w:val="00BF46F1"/>
    <w:rsid w:val="00BF47D7"/>
    <w:rsid w:val="00BF4B69"/>
    <w:rsid w:val="00BF56A8"/>
    <w:rsid w:val="00BF57AD"/>
    <w:rsid w:val="00BF5C2F"/>
    <w:rsid w:val="00BF60E3"/>
    <w:rsid w:val="00BF61B4"/>
    <w:rsid w:val="00BF6500"/>
    <w:rsid w:val="00BF6C19"/>
    <w:rsid w:val="00BF6CEE"/>
    <w:rsid w:val="00BF6D85"/>
    <w:rsid w:val="00BF6F8F"/>
    <w:rsid w:val="00BF6FBF"/>
    <w:rsid w:val="00BF70A1"/>
    <w:rsid w:val="00BF70F8"/>
    <w:rsid w:val="00BF7219"/>
    <w:rsid w:val="00BF7D39"/>
    <w:rsid w:val="00BF7D43"/>
    <w:rsid w:val="00C0004B"/>
    <w:rsid w:val="00C006F3"/>
    <w:rsid w:val="00C00D90"/>
    <w:rsid w:val="00C00F1A"/>
    <w:rsid w:val="00C010F5"/>
    <w:rsid w:val="00C0141F"/>
    <w:rsid w:val="00C0150C"/>
    <w:rsid w:val="00C01835"/>
    <w:rsid w:val="00C01DA4"/>
    <w:rsid w:val="00C02044"/>
    <w:rsid w:val="00C02192"/>
    <w:rsid w:val="00C023FA"/>
    <w:rsid w:val="00C02AB0"/>
    <w:rsid w:val="00C02CDE"/>
    <w:rsid w:val="00C03125"/>
    <w:rsid w:val="00C03892"/>
    <w:rsid w:val="00C039B6"/>
    <w:rsid w:val="00C03B7B"/>
    <w:rsid w:val="00C04262"/>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FE"/>
    <w:rsid w:val="00C1423E"/>
    <w:rsid w:val="00C14384"/>
    <w:rsid w:val="00C146E7"/>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60C"/>
    <w:rsid w:val="00C258AA"/>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52D"/>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BE8"/>
    <w:rsid w:val="00C36DAD"/>
    <w:rsid w:val="00C37050"/>
    <w:rsid w:val="00C37149"/>
    <w:rsid w:val="00C37493"/>
    <w:rsid w:val="00C3749F"/>
    <w:rsid w:val="00C37B14"/>
    <w:rsid w:val="00C37D41"/>
    <w:rsid w:val="00C37F07"/>
    <w:rsid w:val="00C37F85"/>
    <w:rsid w:val="00C37F8D"/>
    <w:rsid w:val="00C4018E"/>
    <w:rsid w:val="00C404D5"/>
    <w:rsid w:val="00C40759"/>
    <w:rsid w:val="00C40B7D"/>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706"/>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5E0"/>
    <w:rsid w:val="00C65D24"/>
    <w:rsid w:val="00C65E90"/>
    <w:rsid w:val="00C65F58"/>
    <w:rsid w:val="00C662F2"/>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1F"/>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A3F"/>
    <w:rsid w:val="00CA4C14"/>
    <w:rsid w:val="00CA4FE7"/>
    <w:rsid w:val="00CA51A0"/>
    <w:rsid w:val="00CA5539"/>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03B"/>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801"/>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BAB"/>
    <w:rsid w:val="00CD3C7F"/>
    <w:rsid w:val="00CD3D0C"/>
    <w:rsid w:val="00CD3E10"/>
    <w:rsid w:val="00CD3F09"/>
    <w:rsid w:val="00CD3FAF"/>
    <w:rsid w:val="00CD4822"/>
    <w:rsid w:val="00CD492B"/>
    <w:rsid w:val="00CD4FD1"/>
    <w:rsid w:val="00CD52F0"/>
    <w:rsid w:val="00CD5AAA"/>
    <w:rsid w:val="00CD5BE9"/>
    <w:rsid w:val="00CD5C02"/>
    <w:rsid w:val="00CD61E3"/>
    <w:rsid w:val="00CD6330"/>
    <w:rsid w:val="00CD63B9"/>
    <w:rsid w:val="00CD67BC"/>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603"/>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B09"/>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CD5"/>
    <w:rsid w:val="00D04FC8"/>
    <w:rsid w:val="00D05393"/>
    <w:rsid w:val="00D05555"/>
    <w:rsid w:val="00D05EA6"/>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E94"/>
    <w:rsid w:val="00D15093"/>
    <w:rsid w:val="00D159A9"/>
    <w:rsid w:val="00D15A17"/>
    <w:rsid w:val="00D15D5B"/>
    <w:rsid w:val="00D15D9D"/>
    <w:rsid w:val="00D1624D"/>
    <w:rsid w:val="00D1678C"/>
    <w:rsid w:val="00D16BA8"/>
    <w:rsid w:val="00D16D86"/>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B31"/>
    <w:rsid w:val="00D22D2B"/>
    <w:rsid w:val="00D233BE"/>
    <w:rsid w:val="00D23556"/>
    <w:rsid w:val="00D2390D"/>
    <w:rsid w:val="00D239EC"/>
    <w:rsid w:val="00D23B89"/>
    <w:rsid w:val="00D23CE2"/>
    <w:rsid w:val="00D23EAA"/>
    <w:rsid w:val="00D2416F"/>
    <w:rsid w:val="00D248AE"/>
    <w:rsid w:val="00D25077"/>
    <w:rsid w:val="00D25EAB"/>
    <w:rsid w:val="00D25EC9"/>
    <w:rsid w:val="00D261FB"/>
    <w:rsid w:val="00D26283"/>
    <w:rsid w:val="00D263B5"/>
    <w:rsid w:val="00D26586"/>
    <w:rsid w:val="00D2698B"/>
    <w:rsid w:val="00D26AF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2E7D"/>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2E3F"/>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0CB"/>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1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01"/>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368"/>
    <w:rsid w:val="00D814DD"/>
    <w:rsid w:val="00D817FD"/>
    <w:rsid w:val="00D81E9C"/>
    <w:rsid w:val="00D820F3"/>
    <w:rsid w:val="00D824B5"/>
    <w:rsid w:val="00D8289C"/>
    <w:rsid w:val="00D829AC"/>
    <w:rsid w:val="00D82AE8"/>
    <w:rsid w:val="00D82D48"/>
    <w:rsid w:val="00D83401"/>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2F0D"/>
    <w:rsid w:val="00DA35A9"/>
    <w:rsid w:val="00DA3B43"/>
    <w:rsid w:val="00DA3BAD"/>
    <w:rsid w:val="00DA3BE7"/>
    <w:rsid w:val="00DA3D49"/>
    <w:rsid w:val="00DA3F00"/>
    <w:rsid w:val="00DA41B2"/>
    <w:rsid w:val="00DA43CA"/>
    <w:rsid w:val="00DA4412"/>
    <w:rsid w:val="00DA492A"/>
    <w:rsid w:val="00DA499E"/>
    <w:rsid w:val="00DA4D11"/>
    <w:rsid w:val="00DA5A53"/>
    <w:rsid w:val="00DA5BF6"/>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CBF"/>
    <w:rsid w:val="00DB1D82"/>
    <w:rsid w:val="00DB1E74"/>
    <w:rsid w:val="00DB1F98"/>
    <w:rsid w:val="00DB1FBA"/>
    <w:rsid w:val="00DB2551"/>
    <w:rsid w:val="00DB339E"/>
    <w:rsid w:val="00DB34C7"/>
    <w:rsid w:val="00DB35C7"/>
    <w:rsid w:val="00DB39DE"/>
    <w:rsid w:val="00DB3D30"/>
    <w:rsid w:val="00DB3D52"/>
    <w:rsid w:val="00DB3D55"/>
    <w:rsid w:val="00DB3FBF"/>
    <w:rsid w:val="00DB42C3"/>
    <w:rsid w:val="00DB4322"/>
    <w:rsid w:val="00DB4F9D"/>
    <w:rsid w:val="00DB56C8"/>
    <w:rsid w:val="00DB5A21"/>
    <w:rsid w:val="00DB5BAF"/>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8AF"/>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4E2"/>
    <w:rsid w:val="00DF6824"/>
    <w:rsid w:val="00DF6F0F"/>
    <w:rsid w:val="00DF7226"/>
    <w:rsid w:val="00E004D1"/>
    <w:rsid w:val="00E00A07"/>
    <w:rsid w:val="00E00C11"/>
    <w:rsid w:val="00E00EFF"/>
    <w:rsid w:val="00E00F77"/>
    <w:rsid w:val="00E00FB9"/>
    <w:rsid w:val="00E019EA"/>
    <w:rsid w:val="00E023AD"/>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659"/>
    <w:rsid w:val="00E06730"/>
    <w:rsid w:val="00E06AF4"/>
    <w:rsid w:val="00E07068"/>
    <w:rsid w:val="00E075A4"/>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5002"/>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777"/>
    <w:rsid w:val="00E25ADB"/>
    <w:rsid w:val="00E25F49"/>
    <w:rsid w:val="00E2617B"/>
    <w:rsid w:val="00E2690E"/>
    <w:rsid w:val="00E272FE"/>
    <w:rsid w:val="00E30517"/>
    <w:rsid w:val="00E3070A"/>
    <w:rsid w:val="00E307E4"/>
    <w:rsid w:val="00E30A72"/>
    <w:rsid w:val="00E30BDD"/>
    <w:rsid w:val="00E30E39"/>
    <w:rsid w:val="00E311A5"/>
    <w:rsid w:val="00E31371"/>
    <w:rsid w:val="00E31506"/>
    <w:rsid w:val="00E322BF"/>
    <w:rsid w:val="00E327EE"/>
    <w:rsid w:val="00E32A2A"/>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10"/>
    <w:rsid w:val="00E415CB"/>
    <w:rsid w:val="00E4185F"/>
    <w:rsid w:val="00E419AD"/>
    <w:rsid w:val="00E41A3E"/>
    <w:rsid w:val="00E41D2F"/>
    <w:rsid w:val="00E42569"/>
    <w:rsid w:val="00E42A5D"/>
    <w:rsid w:val="00E42FF3"/>
    <w:rsid w:val="00E430E9"/>
    <w:rsid w:val="00E431DF"/>
    <w:rsid w:val="00E432AE"/>
    <w:rsid w:val="00E4356E"/>
    <w:rsid w:val="00E4379E"/>
    <w:rsid w:val="00E43992"/>
    <w:rsid w:val="00E43F1E"/>
    <w:rsid w:val="00E43FBE"/>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3E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0D8"/>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C75"/>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69"/>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665"/>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6FD9"/>
    <w:rsid w:val="00EA708C"/>
    <w:rsid w:val="00EA7690"/>
    <w:rsid w:val="00EA7A7E"/>
    <w:rsid w:val="00EA7AF2"/>
    <w:rsid w:val="00EA7C2F"/>
    <w:rsid w:val="00EA7CE6"/>
    <w:rsid w:val="00EA7E15"/>
    <w:rsid w:val="00EA7E8F"/>
    <w:rsid w:val="00EA7E9E"/>
    <w:rsid w:val="00EA7EF5"/>
    <w:rsid w:val="00EA7F1F"/>
    <w:rsid w:val="00EB0073"/>
    <w:rsid w:val="00EB0322"/>
    <w:rsid w:val="00EB05DC"/>
    <w:rsid w:val="00EB1027"/>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6BC"/>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440"/>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3CA"/>
    <w:rsid w:val="00EE44A5"/>
    <w:rsid w:val="00EE4708"/>
    <w:rsid w:val="00EE4BAA"/>
    <w:rsid w:val="00EE4F27"/>
    <w:rsid w:val="00EE5112"/>
    <w:rsid w:val="00EE58ED"/>
    <w:rsid w:val="00EE5A85"/>
    <w:rsid w:val="00EE62B4"/>
    <w:rsid w:val="00EE636D"/>
    <w:rsid w:val="00EE66B1"/>
    <w:rsid w:val="00EE6A8C"/>
    <w:rsid w:val="00EE6CB1"/>
    <w:rsid w:val="00EE6D48"/>
    <w:rsid w:val="00EE76DE"/>
    <w:rsid w:val="00EE7726"/>
    <w:rsid w:val="00EE785F"/>
    <w:rsid w:val="00EE7D91"/>
    <w:rsid w:val="00EE7ECE"/>
    <w:rsid w:val="00EF0225"/>
    <w:rsid w:val="00EF059F"/>
    <w:rsid w:val="00EF082A"/>
    <w:rsid w:val="00EF0AB0"/>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9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357"/>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2E8"/>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16B"/>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7AF"/>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DBC"/>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B42"/>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7DD"/>
    <w:rsid w:val="00F80D28"/>
    <w:rsid w:val="00F80D8F"/>
    <w:rsid w:val="00F8107A"/>
    <w:rsid w:val="00F81311"/>
    <w:rsid w:val="00F814F8"/>
    <w:rsid w:val="00F81507"/>
    <w:rsid w:val="00F81625"/>
    <w:rsid w:val="00F81C47"/>
    <w:rsid w:val="00F81E0E"/>
    <w:rsid w:val="00F81E87"/>
    <w:rsid w:val="00F81F25"/>
    <w:rsid w:val="00F81F57"/>
    <w:rsid w:val="00F822B9"/>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74C"/>
    <w:rsid w:val="00FA0E7C"/>
    <w:rsid w:val="00FA1766"/>
    <w:rsid w:val="00FA1C2E"/>
    <w:rsid w:val="00FA1CBF"/>
    <w:rsid w:val="00FA1D8F"/>
    <w:rsid w:val="00FA1E26"/>
    <w:rsid w:val="00FA2002"/>
    <w:rsid w:val="00FA21AE"/>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4D"/>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911"/>
    <w:rsid w:val="00FC4CA4"/>
    <w:rsid w:val="00FC4DBB"/>
    <w:rsid w:val="00FC4E71"/>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2EB"/>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1FA9"/>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6CA"/>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286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42B9"/>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D3C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D3C7F"/>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D3C7F"/>
    <w:pPr>
      <w:spacing w:before="120"/>
      <w:outlineLvl w:val="2"/>
    </w:pPr>
    <w:rPr>
      <w:sz w:val="28"/>
      <w:szCs w:val="28"/>
    </w:rPr>
  </w:style>
  <w:style w:type="paragraph" w:styleId="Heading4">
    <w:name w:val="heading 4"/>
    <w:aliases w:val="h4"/>
    <w:basedOn w:val="Heading3"/>
    <w:next w:val="Normal"/>
    <w:link w:val="Heading4Char"/>
    <w:qFormat/>
    <w:rsid w:val="00CD3C7F"/>
    <w:pPr>
      <w:ind w:left="1418" w:hanging="1418"/>
      <w:outlineLvl w:val="3"/>
    </w:pPr>
    <w:rPr>
      <w:sz w:val="24"/>
      <w:szCs w:val="24"/>
    </w:rPr>
  </w:style>
  <w:style w:type="paragraph" w:styleId="Heading5">
    <w:name w:val="heading 5"/>
    <w:basedOn w:val="Heading4"/>
    <w:next w:val="Normal"/>
    <w:link w:val="Heading5Char"/>
    <w:qFormat/>
    <w:rsid w:val="00CD3C7F"/>
    <w:pPr>
      <w:ind w:left="1701" w:hanging="1701"/>
      <w:outlineLvl w:val="4"/>
    </w:pPr>
    <w:rPr>
      <w:sz w:val="22"/>
      <w:szCs w:val="22"/>
    </w:rPr>
  </w:style>
  <w:style w:type="paragraph" w:styleId="Heading6">
    <w:name w:val="heading 6"/>
    <w:basedOn w:val="H6"/>
    <w:next w:val="Normal"/>
    <w:qFormat/>
    <w:rsid w:val="00CD3C7F"/>
    <w:pPr>
      <w:outlineLvl w:val="5"/>
    </w:pPr>
  </w:style>
  <w:style w:type="paragraph" w:styleId="Heading7">
    <w:name w:val="heading 7"/>
    <w:basedOn w:val="H6"/>
    <w:next w:val="Normal"/>
    <w:qFormat/>
    <w:rsid w:val="00CD3C7F"/>
    <w:pPr>
      <w:outlineLvl w:val="6"/>
    </w:pPr>
  </w:style>
  <w:style w:type="paragraph" w:styleId="Heading8">
    <w:name w:val="heading 8"/>
    <w:basedOn w:val="Heading1"/>
    <w:next w:val="Normal"/>
    <w:qFormat/>
    <w:rsid w:val="00CD3C7F"/>
    <w:pPr>
      <w:ind w:left="0" w:firstLine="0"/>
      <w:outlineLvl w:val="7"/>
    </w:pPr>
  </w:style>
  <w:style w:type="paragraph" w:styleId="Heading9">
    <w:name w:val="heading 9"/>
    <w:basedOn w:val="Heading8"/>
    <w:next w:val="Normal"/>
    <w:qFormat/>
    <w:rsid w:val="00CD3C7F"/>
    <w:pPr>
      <w:outlineLvl w:val="8"/>
    </w:pPr>
  </w:style>
  <w:style w:type="character" w:default="1" w:styleId="DefaultParagraphFont">
    <w:name w:val="Default Paragraph Font"/>
    <w:uiPriority w:val="1"/>
    <w:semiHidden/>
    <w:unhideWhenUsed/>
    <w:rsid w:val="00B042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42B9"/>
  </w:style>
  <w:style w:type="paragraph" w:styleId="TOC8">
    <w:name w:val="toc 8"/>
    <w:basedOn w:val="TOC1"/>
    <w:semiHidden/>
    <w:rsid w:val="00CD3C7F"/>
    <w:pPr>
      <w:spacing w:before="180"/>
      <w:ind w:left="2693" w:hanging="2693"/>
    </w:pPr>
    <w:rPr>
      <w:b/>
      <w:bCs/>
    </w:rPr>
  </w:style>
  <w:style w:type="paragraph" w:styleId="TOC1">
    <w:name w:val="toc 1"/>
    <w:semiHidden/>
    <w:rsid w:val="00CD3C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D3C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D3C7F"/>
    <w:pPr>
      <w:ind w:left="1701" w:hanging="1701"/>
    </w:pPr>
  </w:style>
  <w:style w:type="paragraph" w:styleId="TOC4">
    <w:name w:val="toc 4"/>
    <w:basedOn w:val="TOC3"/>
    <w:semiHidden/>
    <w:rsid w:val="00CD3C7F"/>
    <w:pPr>
      <w:ind w:left="1418" w:hanging="1418"/>
    </w:pPr>
  </w:style>
  <w:style w:type="paragraph" w:styleId="TOC3">
    <w:name w:val="toc 3"/>
    <w:basedOn w:val="TOC2"/>
    <w:semiHidden/>
    <w:rsid w:val="00CD3C7F"/>
    <w:pPr>
      <w:ind w:left="1134" w:hanging="1134"/>
    </w:pPr>
  </w:style>
  <w:style w:type="paragraph" w:styleId="TOC2">
    <w:name w:val="toc 2"/>
    <w:basedOn w:val="TOC1"/>
    <w:semiHidden/>
    <w:rsid w:val="00CD3C7F"/>
    <w:pPr>
      <w:keepNext w:val="0"/>
      <w:spacing w:before="0"/>
      <w:ind w:left="851" w:hanging="851"/>
    </w:pPr>
    <w:rPr>
      <w:sz w:val="20"/>
      <w:szCs w:val="20"/>
    </w:rPr>
  </w:style>
  <w:style w:type="paragraph" w:styleId="Index2">
    <w:name w:val="index 2"/>
    <w:basedOn w:val="Index1"/>
    <w:semiHidden/>
    <w:rsid w:val="00CD3C7F"/>
    <w:pPr>
      <w:ind w:left="284"/>
    </w:pPr>
  </w:style>
  <w:style w:type="paragraph" w:styleId="Index1">
    <w:name w:val="index 1"/>
    <w:basedOn w:val="Normal"/>
    <w:semiHidden/>
    <w:rsid w:val="00CD3C7F"/>
    <w:pPr>
      <w:keepLines/>
    </w:pPr>
  </w:style>
  <w:style w:type="paragraph" w:customStyle="1" w:styleId="ZH">
    <w:name w:val="ZH"/>
    <w:rsid w:val="00CD3C7F"/>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D3C7F"/>
    <w:pPr>
      <w:outlineLvl w:val="9"/>
    </w:pPr>
  </w:style>
  <w:style w:type="paragraph" w:styleId="ListNumber2">
    <w:name w:val="List Number 2"/>
    <w:basedOn w:val="ListNumber"/>
    <w:rsid w:val="00CD3C7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D3C7F"/>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D3C7F"/>
    <w:rPr>
      <w:b/>
      <w:bCs/>
      <w:position w:val="6"/>
      <w:sz w:val="16"/>
      <w:szCs w:val="16"/>
    </w:rPr>
  </w:style>
  <w:style w:type="paragraph" w:styleId="FootnoteText">
    <w:name w:val="footnote text"/>
    <w:basedOn w:val="Normal"/>
    <w:semiHidden/>
    <w:rsid w:val="00CD3C7F"/>
    <w:pPr>
      <w:keepLines/>
      <w:ind w:left="454" w:hanging="454"/>
    </w:pPr>
    <w:rPr>
      <w:sz w:val="16"/>
      <w:szCs w:val="16"/>
    </w:rPr>
  </w:style>
  <w:style w:type="paragraph" w:customStyle="1" w:styleId="TAH">
    <w:name w:val="TAH"/>
    <w:basedOn w:val="TAC"/>
    <w:rsid w:val="00CD3C7F"/>
    <w:rPr>
      <w:b/>
      <w:bCs/>
    </w:rPr>
  </w:style>
  <w:style w:type="paragraph" w:customStyle="1" w:styleId="TAC">
    <w:name w:val="TAC"/>
    <w:basedOn w:val="TAL"/>
    <w:link w:val="TACChar"/>
    <w:rsid w:val="00CD3C7F"/>
    <w:pPr>
      <w:jc w:val="center"/>
    </w:pPr>
  </w:style>
  <w:style w:type="paragraph" w:customStyle="1" w:styleId="TF">
    <w:name w:val="TF"/>
    <w:basedOn w:val="TH"/>
    <w:link w:val="TFChar"/>
    <w:rsid w:val="00CD3C7F"/>
    <w:pPr>
      <w:keepNext w:val="0"/>
      <w:spacing w:before="0" w:after="240"/>
    </w:pPr>
  </w:style>
  <w:style w:type="paragraph" w:customStyle="1" w:styleId="NO">
    <w:name w:val="NO"/>
    <w:basedOn w:val="Normal"/>
    <w:rsid w:val="00CD3C7F"/>
    <w:pPr>
      <w:keepLines/>
      <w:ind w:left="1135" w:hanging="851"/>
    </w:pPr>
  </w:style>
  <w:style w:type="paragraph" w:styleId="TOC9">
    <w:name w:val="toc 9"/>
    <w:basedOn w:val="TOC8"/>
    <w:semiHidden/>
    <w:rsid w:val="00CD3C7F"/>
    <w:pPr>
      <w:ind w:left="1418" w:hanging="1418"/>
    </w:pPr>
  </w:style>
  <w:style w:type="paragraph" w:customStyle="1" w:styleId="EX">
    <w:name w:val="EX"/>
    <w:basedOn w:val="Normal"/>
    <w:rsid w:val="00CD3C7F"/>
    <w:pPr>
      <w:keepLines/>
      <w:ind w:left="1702" w:hanging="1418"/>
    </w:pPr>
  </w:style>
  <w:style w:type="paragraph" w:customStyle="1" w:styleId="FP">
    <w:name w:val="FP"/>
    <w:basedOn w:val="Normal"/>
    <w:rsid w:val="00CD3C7F"/>
  </w:style>
  <w:style w:type="paragraph" w:customStyle="1" w:styleId="LD">
    <w:name w:val="LD"/>
    <w:rsid w:val="00CD3C7F"/>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D3C7F"/>
  </w:style>
  <w:style w:type="paragraph" w:customStyle="1" w:styleId="EW">
    <w:name w:val="EW"/>
    <w:basedOn w:val="EX"/>
    <w:rsid w:val="00CD3C7F"/>
  </w:style>
  <w:style w:type="paragraph" w:styleId="TOC6">
    <w:name w:val="toc 6"/>
    <w:basedOn w:val="TOC5"/>
    <w:next w:val="Normal"/>
    <w:semiHidden/>
    <w:rsid w:val="00CD3C7F"/>
    <w:pPr>
      <w:ind w:left="1985" w:hanging="1985"/>
    </w:pPr>
  </w:style>
  <w:style w:type="paragraph" w:styleId="TOC7">
    <w:name w:val="toc 7"/>
    <w:basedOn w:val="TOC6"/>
    <w:next w:val="Normal"/>
    <w:semiHidden/>
    <w:rsid w:val="00CD3C7F"/>
    <w:pPr>
      <w:ind w:left="2268" w:hanging="2268"/>
    </w:pPr>
  </w:style>
  <w:style w:type="paragraph" w:styleId="ListBullet2">
    <w:name w:val="List Bullet 2"/>
    <w:basedOn w:val="ListBullet"/>
    <w:rsid w:val="00CD3C7F"/>
    <w:pPr>
      <w:ind w:left="851"/>
    </w:pPr>
  </w:style>
  <w:style w:type="paragraph" w:styleId="ListBullet3">
    <w:name w:val="List Bullet 3"/>
    <w:basedOn w:val="ListBullet2"/>
    <w:rsid w:val="00CD3C7F"/>
    <w:pPr>
      <w:ind w:left="1135"/>
    </w:pPr>
  </w:style>
  <w:style w:type="paragraph" w:styleId="ListNumber">
    <w:name w:val="List Number"/>
    <w:basedOn w:val="List"/>
    <w:rsid w:val="00CD3C7F"/>
  </w:style>
  <w:style w:type="paragraph" w:customStyle="1" w:styleId="EQ">
    <w:name w:val="EQ"/>
    <w:basedOn w:val="Normal"/>
    <w:next w:val="Normal"/>
    <w:rsid w:val="00CD3C7F"/>
    <w:pPr>
      <w:keepLines/>
      <w:tabs>
        <w:tab w:val="center" w:pos="4536"/>
        <w:tab w:val="right" w:pos="9072"/>
      </w:tabs>
    </w:pPr>
    <w:rPr>
      <w:noProof/>
    </w:rPr>
  </w:style>
  <w:style w:type="paragraph" w:customStyle="1" w:styleId="TH">
    <w:name w:val="TH"/>
    <w:basedOn w:val="Normal"/>
    <w:link w:val="THChar"/>
    <w:rsid w:val="00CD3C7F"/>
    <w:pPr>
      <w:keepNext/>
      <w:keepLines/>
      <w:spacing w:before="60"/>
      <w:jc w:val="center"/>
    </w:pPr>
    <w:rPr>
      <w:rFonts w:ascii="Arial" w:hAnsi="Arial" w:cs="Arial"/>
      <w:b/>
      <w:bCs/>
    </w:rPr>
  </w:style>
  <w:style w:type="paragraph" w:customStyle="1" w:styleId="NF">
    <w:name w:val="NF"/>
    <w:basedOn w:val="NO"/>
    <w:rsid w:val="00CD3C7F"/>
    <w:pPr>
      <w:keepNext/>
    </w:pPr>
    <w:rPr>
      <w:rFonts w:ascii="Arial" w:hAnsi="Arial" w:cs="Arial"/>
      <w:sz w:val="18"/>
      <w:szCs w:val="18"/>
    </w:rPr>
  </w:style>
  <w:style w:type="paragraph" w:customStyle="1" w:styleId="PL">
    <w:name w:val="PL"/>
    <w:link w:val="PLChar"/>
    <w:rsid w:val="00CD3C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D3C7F"/>
    <w:pPr>
      <w:jc w:val="right"/>
    </w:pPr>
  </w:style>
  <w:style w:type="paragraph" w:customStyle="1" w:styleId="H6">
    <w:name w:val="H6"/>
    <w:basedOn w:val="Heading5"/>
    <w:next w:val="Normal"/>
    <w:rsid w:val="00CD3C7F"/>
    <w:pPr>
      <w:ind w:left="1985" w:hanging="1985"/>
      <w:outlineLvl w:val="9"/>
    </w:pPr>
    <w:rPr>
      <w:sz w:val="20"/>
      <w:szCs w:val="20"/>
    </w:rPr>
  </w:style>
  <w:style w:type="paragraph" w:customStyle="1" w:styleId="TAN">
    <w:name w:val="TAN"/>
    <w:basedOn w:val="TAL"/>
    <w:rsid w:val="00CD3C7F"/>
    <w:pPr>
      <w:ind w:left="851" w:hanging="851"/>
    </w:pPr>
  </w:style>
  <w:style w:type="paragraph" w:customStyle="1" w:styleId="TAL">
    <w:name w:val="TAL"/>
    <w:basedOn w:val="Normal"/>
    <w:link w:val="TALCar"/>
    <w:rsid w:val="00CD3C7F"/>
    <w:pPr>
      <w:keepNext/>
      <w:keepLines/>
    </w:pPr>
    <w:rPr>
      <w:rFonts w:ascii="Arial" w:hAnsi="Arial" w:cs="Arial"/>
      <w:sz w:val="18"/>
      <w:szCs w:val="18"/>
    </w:rPr>
  </w:style>
  <w:style w:type="paragraph" w:customStyle="1" w:styleId="ZA">
    <w:name w:val="ZA"/>
    <w:rsid w:val="00CD3C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D3C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D3C7F"/>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D3C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D3C7F"/>
    <w:pPr>
      <w:framePr w:wrap="notBeside" w:y="16161"/>
    </w:pPr>
  </w:style>
  <w:style w:type="character" w:customStyle="1" w:styleId="ZGSM">
    <w:name w:val="ZGSM"/>
    <w:rsid w:val="00CD3C7F"/>
  </w:style>
  <w:style w:type="paragraph" w:styleId="List2">
    <w:name w:val="List 2"/>
    <w:basedOn w:val="List"/>
    <w:rsid w:val="00CD3C7F"/>
    <w:pPr>
      <w:ind w:left="851"/>
    </w:pPr>
  </w:style>
  <w:style w:type="paragraph" w:customStyle="1" w:styleId="ZG">
    <w:name w:val="ZG"/>
    <w:rsid w:val="00CD3C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D3C7F"/>
    <w:pPr>
      <w:ind w:left="1135"/>
    </w:pPr>
  </w:style>
  <w:style w:type="paragraph" w:styleId="List4">
    <w:name w:val="List 4"/>
    <w:basedOn w:val="List3"/>
    <w:rsid w:val="00CD3C7F"/>
    <w:pPr>
      <w:ind w:left="1418"/>
    </w:pPr>
  </w:style>
  <w:style w:type="paragraph" w:styleId="List5">
    <w:name w:val="List 5"/>
    <w:basedOn w:val="List4"/>
    <w:rsid w:val="00CD3C7F"/>
    <w:pPr>
      <w:ind w:left="1702"/>
    </w:pPr>
  </w:style>
  <w:style w:type="paragraph" w:customStyle="1" w:styleId="EditorsNote">
    <w:name w:val="Editor's Note"/>
    <w:basedOn w:val="NO"/>
    <w:rsid w:val="00CD3C7F"/>
    <w:rPr>
      <w:color w:val="FF0000"/>
    </w:rPr>
  </w:style>
  <w:style w:type="paragraph" w:styleId="List">
    <w:name w:val="List"/>
    <w:basedOn w:val="Normal"/>
    <w:rsid w:val="00CD3C7F"/>
    <w:pPr>
      <w:ind w:left="568" w:hanging="284"/>
    </w:pPr>
  </w:style>
  <w:style w:type="paragraph" w:styleId="ListBullet">
    <w:name w:val="List Bullet"/>
    <w:basedOn w:val="List"/>
    <w:rsid w:val="00CD3C7F"/>
  </w:style>
  <w:style w:type="paragraph" w:styleId="ListBullet4">
    <w:name w:val="List Bullet 4"/>
    <w:basedOn w:val="ListBullet3"/>
    <w:rsid w:val="00CD3C7F"/>
    <w:pPr>
      <w:ind w:left="1418"/>
    </w:pPr>
  </w:style>
  <w:style w:type="paragraph" w:styleId="ListBullet5">
    <w:name w:val="List Bullet 5"/>
    <w:basedOn w:val="ListBullet4"/>
    <w:rsid w:val="00CD3C7F"/>
    <w:pPr>
      <w:ind w:left="1702"/>
    </w:pPr>
  </w:style>
  <w:style w:type="paragraph" w:customStyle="1" w:styleId="B1">
    <w:name w:val="B1"/>
    <w:basedOn w:val="List"/>
    <w:rsid w:val="00CD3C7F"/>
  </w:style>
  <w:style w:type="paragraph" w:customStyle="1" w:styleId="B2">
    <w:name w:val="B2"/>
    <w:basedOn w:val="List2"/>
    <w:rsid w:val="00CD3C7F"/>
  </w:style>
  <w:style w:type="paragraph" w:customStyle="1" w:styleId="B3">
    <w:name w:val="B3"/>
    <w:basedOn w:val="List3"/>
    <w:rsid w:val="00CD3C7F"/>
  </w:style>
  <w:style w:type="paragraph" w:customStyle="1" w:styleId="B4">
    <w:name w:val="B4"/>
    <w:basedOn w:val="List4"/>
    <w:rsid w:val="00CD3C7F"/>
  </w:style>
  <w:style w:type="paragraph" w:customStyle="1" w:styleId="B5">
    <w:name w:val="B5"/>
    <w:basedOn w:val="List5"/>
    <w:rsid w:val="00CD3C7F"/>
  </w:style>
  <w:style w:type="paragraph" w:styleId="Footer">
    <w:name w:val="footer"/>
    <w:basedOn w:val="Header"/>
    <w:link w:val="FooterChar"/>
    <w:rsid w:val="00CD3C7F"/>
    <w:pPr>
      <w:jc w:val="center"/>
    </w:pPr>
    <w:rPr>
      <w:i/>
      <w:iCs/>
    </w:rPr>
  </w:style>
  <w:style w:type="paragraph" w:customStyle="1" w:styleId="ZTD">
    <w:name w:val="ZTD"/>
    <w:basedOn w:val="ZB"/>
    <w:rsid w:val="00CD3C7F"/>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rFonts w:eastAsia="SimSun"/>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pPr>
      <w:spacing w:after="120"/>
    </w:pPr>
    <w:rPr>
      <w:rFonts w:ascii="Times" w:hAnsi="Times"/>
      <w:szCs w:val="24"/>
    </w:rPr>
  </w:style>
  <w:style w:type="paragraph" w:styleId="BodyText2">
    <w:name w:val="Body Text 2"/>
    <w:basedOn w:val="Normal"/>
    <w:pPr>
      <w:tabs>
        <w:tab w:val="left" w:pos="1985"/>
      </w:tabs>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snapToGrid w:val="0"/>
      <w:spacing w:afterLines="50" w:line="264" w:lineRule="auto"/>
    </w:pPr>
    <w:rPr>
      <w:rFonts w:eastAsia="Batang"/>
      <w:szCs w:val="24"/>
      <w:lang w:eastAsia="ko-KR"/>
    </w:rPr>
  </w:style>
  <w:style w:type="paragraph" w:customStyle="1" w:styleId="bullet1">
    <w:name w:val="bullet1"/>
    <w:basedOn w:val="Normal"/>
    <w:link w:val="bullet1Char"/>
    <w:qFormat/>
    <w:rsid w:val="0085413E"/>
    <w:pPr>
      <w:numPr>
        <w:numId w:val="27"/>
      </w:numPr>
    </w:pPr>
    <w:rPr>
      <w:rFonts w:ascii="Times" w:eastAsia="Batang" w:hAnsi="Times" w:cs="Times New Roman"/>
      <w:sz w:val="20"/>
      <w:szCs w:val="24"/>
    </w:rPr>
  </w:style>
  <w:style w:type="paragraph" w:customStyle="1" w:styleId="bullet2">
    <w:name w:val="bullet2"/>
    <w:basedOn w:val="Normal"/>
    <w:link w:val="bullet2Char"/>
    <w:qFormat/>
    <w:rsid w:val="0085413E"/>
    <w:pPr>
      <w:numPr>
        <w:ilvl w:val="1"/>
        <w:numId w:val="27"/>
      </w:numPr>
    </w:pPr>
    <w:rPr>
      <w:rFonts w:ascii="Times" w:eastAsia="Batang" w:hAnsi="Times" w:cs="Times New Roman"/>
      <w:sz w:val="20"/>
      <w:szCs w:val="24"/>
    </w:rPr>
  </w:style>
  <w:style w:type="character" w:customStyle="1" w:styleId="bullet1Char">
    <w:name w:val="bullet1 Char"/>
    <w:link w:val="bullet1"/>
    <w:rsid w:val="0085413E"/>
    <w:rPr>
      <w:rFonts w:ascii="Times" w:eastAsia="Batang" w:hAnsi="Times"/>
      <w:szCs w:val="24"/>
      <w:lang w:eastAsia="en-US"/>
    </w:rPr>
  </w:style>
  <w:style w:type="paragraph" w:customStyle="1" w:styleId="bullet3">
    <w:name w:val="bullet3"/>
    <w:basedOn w:val="Normal"/>
    <w:qFormat/>
    <w:rsid w:val="0085413E"/>
    <w:pPr>
      <w:numPr>
        <w:ilvl w:val="2"/>
        <w:numId w:val="27"/>
      </w:numPr>
      <w:ind w:hanging="180"/>
    </w:pPr>
    <w:rPr>
      <w:rFonts w:ascii="Times" w:eastAsia="Batang" w:hAnsi="Times" w:cs="Times New Roman"/>
      <w:sz w:val="20"/>
      <w:szCs w:val="24"/>
    </w:rPr>
  </w:style>
  <w:style w:type="paragraph" w:customStyle="1" w:styleId="bullet4">
    <w:name w:val="bullet4"/>
    <w:basedOn w:val="Normal"/>
    <w:qFormat/>
    <w:rsid w:val="0085413E"/>
    <w:pPr>
      <w:numPr>
        <w:ilvl w:val="3"/>
        <w:numId w:val="27"/>
      </w:numPr>
    </w:pPr>
    <w:rPr>
      <w:rFonts w:ascii="Times" w:eastAsia="Batang" w:hAnsi="Times" w:cs="Times New Roman"/>
      <w:sz w:val="20"/>
      <w:szCs w:val="24"/>
    </w:rPr>
  </w:style>
  <w:style w:type="character" w:customStyle="1" w:styleId="bullet2Char">
    <w:name w:val="bullet2 Char"/>
    <w:link w:val="bullet2"/>
    <w:rsid w:val="0085413E"/>
    <w:rPr>
      <w:rFonts w:ascii="Times" w:eastAsia="Batang" w:hAnsi="Times"/>
      <w:szCs w:val="24"/>
      <w:lang w:eastAsia="en-US"/>
    </w:rPr>
  </w:style>
  <w:style w:type="paragraph" w:styleId="PlainText">
    <w:name w:val="Plain Text"/>
    <w:basedOn w:val="Normal"/>
    <w:link w:val="PlainTextChar"/>
    <w:uiPriority w:val="99"/>
    <w:unhideWhenUsed/>
    <w:rsid w:val="0085413E"/>
    <w:rPr>
      <w:rFonts w:ascii="Arial" w:eastAsia="MS Gothic" w:hAnsi="Arial" w:cs="Times New Roman"/>
      <w:color w:val="000000"/>
      <w:sz w:val="20"/>
      <w:szCs w:val="20"/>
      <w:lang w:val="x-none"/>
    </w:rPr>
  </w:style>
  <w:style w:type="character" w:customStyle="1" w:styleId="PlainTextChar">
    <w:name w:val="Plain Text Char"/>
    <w:basedOn w:val="DefaultParagraphFont"/>
    <w:link w:val="PlainText"/>
    <w:uiPriority w:val="99"/>
    <w:rsid w:val="0085413E"/>
    <w:rPr>
      <w:rFonts w:ascii="Arial" w:eastAsia="MS Gothic" w:hAnsi="Arial"/>
      <w:color w:val="000000"/>
      <w:lang w:val="x-none" w:eastAsia="en-US"/>
    </w:rPr>
  </w:style>
  <w:style w:type="character" w:customStyle="1" w:styleId="normaltextrun">
    <w:name w:val="normaltextrun"/>
    <w:basedOn w:val="DefaultParagraphFont"/>
    <w:rsid w:val="00E25777"/>
  </w:style>
  <w:style w:type="character" w:customStyle="1" w:styleId="eop">
    <w:name w:val="eop"/>
    <w:basedOn w:val="DefaultParagraphFont"/>
    <w:rsid w:val="00E25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EA804-4AEE-4258-805F-A87D9497D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4071</Words>
  <Characters>23207</Characters>
  <Application>Microsoft Office Word</Application>
  <DocSecurity>0</DocSecurity>
  <Lines>193</Lines>
  <Paragraphs>54</Paragraphs>
  <ScaleCrop>false</ScaleCrop>
  <Company/>
  <LinksUpToDate>false</LinksUpToDate>
  <CharactersWithSpaces>27224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2018-11-03T03:48:00Z</dcterms:created>
  <dcterms:modified xsi:type="dcterms:W3CDTF">2018-11-03T03:49:00Z</dcterms:modified>
</cp:coreProperties>
</file>